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bookmarkStart w:id="0" w:name="_GoBack"/>
      <w:bookmarkEnd w:id="0"/>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77777777"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 including perceptual “laws” —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r)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o="urn:schemas-microsoft-com:office:office" xmlns:v="urn:schemas-microsoft-com:vml" xmlns:w10="urn:schemas-microsoft-com:office:word" xmlns:w="http://schemas.openxmlformats.org/wordprocessingml/2006/main" xmlns:a14="http://schemas.microsoft.com/office/drawing/2010/main" xmlns=""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o="urn:schemas-microsoft-com:office:office" xmlns:v="urn:schemas-microsoft-com:vml" xmlns:w10="urn:schemas-microsoft-com:office:word" xmlns:w="http://schemas.openxmlformats.org/wordprocessingml/2006/main" xmlns:a14="http://schemas.microsoft.com/office/drawing/2010/main" xmlns="">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7FC4E34B"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2C2D66" w:rsidRDefault="002C2D66" w:rsidP="00C95F6C">
                            <w:pPr>
                              <w:pStyle w:val="Footnote"/>
                            </w:pPr>
                          </w:p>
                          <w:p w14:paraId="293261F5" w14:textId="77777777" w:rsidR="002C2D66" w:rsidRPr="00DA11EB" w:rsidRDefault="002C2D66"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2C2D66" w:rsidRDefault="002C2D66" w:rsidP="00C95F6C">
                      <w:pPr>
                        <w:pStyle w:val="Footnote"/>
                      </w:pPr>
                    </w:p>
                    <w:p w14:paraId="293261F5" w14:textId="77777777" w:rsidR="002C2D66" w:rsidRPr="00DA11EB" w:rsidRDefault="002C2D66"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have long been studied —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5838A0C"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r w:rsidR="009E189B">
        <w:rPr>
          <w:i/>
        </w:rPr>
        <w:t>A</w:t>
      </w:r>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p>
    <w:p w14:paraId="474AB42A" w14:textId="77777777"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412069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043682" w:rsidRPr="00B34C5C">
        <w:t xml:space="preserve">— </w:t>
      </w:r>
      <w:r w:rsidR="00A6339A">
        <w:t>which does not follow Weber’s Law</w:t>
      </w:r>
      <w:r w:rsidR="00043682" w:rsidRPr="00B34C5C">
        <w:t xml:space="preserve"> —</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25F273A"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778C2033"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the precision of estimation of correlation using different visualizations and Pearson’s </w:t>
      </w:r>
      <w:r w:rsidRPr="00706A57">
        <w:rPr>
          <w:i/>
        </w:rPr>
        <w:t>r</w:t>
      </w:r>
      <w:r>
        <w:t xml:space="preserve">. This experiment employs a staircase procedure in order to find a person’s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lastRenderedPageBreak/>
        <w:t xml:space="preserve">should be expected to 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706A57">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5A594657" w:rsidR="006515FD" w:rsidRPr="005F43DA" w:rsidRDefault="009B017E" w:rsidP="006E1133">
      <w:pPr>
        <w:pStyle w:val="BodyNoIndent"/>
      </w:pPr>
      <w:r>
        <w:t xml:space="preserve">Visualizations and directions were typically </w:t>
      </w:r>
      <w:r w:rsidR="002C2D66">
        <w:t>analyzed</w:t>
      </w:r>
      <w:r>
        <w:t xml:space="preserve"> as </w:t>
      </w:r>
      <w:r w:rsidRPr="009B017E">
        <w:rPr>
          <w:i/>
        </w:rPr>
        <w:t>visualization × direction pairs</w:t>
      </w:r>
      <w:r w:rsidR="005F43DA">
        <w:t>, of which there</w:t>
      </w:r>
      <w:r>
        <w:t xml:space="preserve"> are 18 (e.g., scatterplot-negative, scatterplot-positive, parallel coordinates-positive, etc</w:t>
      </w:r>
      <w:r w:rsidR="005F43DA">
        <w:t>.</w:t>
      </w:r>
      <w:r>
        <w:t xml:space="preserve">). 1687 participants were </w:t>
      </w:r>
      <w:r w:rsidR="008816F4">
        <w:t>recruited using Mechanical Turk.</w:t>
      </w:r>
      <w:r>
        <w:t xml:space="preserve"> </w:t>
      </w:r>
      <w:r w:rsidR="008816F4">
        <w:t>E</w:t>
      </w:r>
      <w:r>
        <w:t xml:space="preserve">ach participant </w:t>
      </w:r>
      <w:r w:rsidR="005F43DA">
        <w:t>completing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scatterplot-negative: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73EB147A" w:rsidR="00916FA9" w:rsidRPr="00916FA9" w:rsidRDefault="00916FA9" w:rsidP="00916FA9">
      <w:r w:rsidRPr="00317108">
        <w:t>Classic work on perceptual laws</w:t>
      </w:r>
      <w:r>
        <w:t xml:space="preserve"> commonly takes the approach of first averaging individual responses over groups before fitting models. This includes work employing Weber’s Law, as in Rensink &amp; Baldridge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"plainTextFormattedCitation" : "[2], [5]", "previouslyFormattedCitation" : "[2], [5]" }, "properties" : { "noteIndex" : 0 }, "schema" : "https://github.com/citation-style-language/schema/raw/master/csl-citation.json" }</w:instrText>
      </w:r>
      <w:r>
        <w:fldChar w:fldCharType="separate"/>
      </w:r>
      <w:r w:rsidRPr="00916FA9">
        <w:rPr>
          <w:noProof/>
        </w:rPr>
        <w:t>[2], [5]</w:t>
      </w:r>
      <w:r>
        <w:fldChar w:fldCharType="end"/>
      </w:r>
      <w:r>
        <w:t xml:space="preserve">, finding (for example)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66AE9C16" w:rsidR="000E1078" w:rsidRDefault="005F43DA" w:rsidP="00916FA9">
      <w:pPr>
        <w:pStyle w:val="Body"/>
      </w:pPr>
      <w:r>
        <w:rPr>
          <w:noProof/>
        </w:rPr>
        <mc:AlternateContent>
          <mc:Choice Requires="wps">
            <w:drawing>
              <wp:anchor distT="0" distB="0" distL="114300" distR="114300" simplePos="0" relativeHeight="251670016" behindDoc="0" locked="0" layoutInCell="1" allowOverlap="0" wp14:anchorId="590089A6" wp14:editId="1B58B584">
                <wp:simplePos x="0" y="0"/>
                <wp:positionH relativeFrom="margin">
                  <wp:align>left</wp:align>
                </wp:positionH>
                <wp:positionV relativeFrom="margin">
                  <wp:posOffset>1270</wp:posOffset>
                </wp:positionV>
                <wp:extent cx="6510528" cy="2715768"/>
                <wp:effectExtent l="0" t="0" r="5080" b="6350"/>
                <wp:wrapTopAndBottom/>
                <wp:docPr id="222" name="Text Box 222"/>
                <wp:cNvGraphicFramePr/>
                <a:graphic xmlns:a="http://schemas.openxmlformats.org/drawingml/2006/main">
                  <a:graphicData uri="http://schemas.microsoft.com/office/word/2010/wordprocessingShape">
                    <wps:wsp>
                      <wps:cNvSpPr txBox="1"/>
                      <wps:spPr>
                        <a:xfrm>
                          <a:off x="0" y="0"/>
                          <a:ext cx="6510528" cy="2715768"/>
                        </a:xfrm>
                        <a:prstGeom prst="rect">
                          <a:avLst/>
                        </a:prstGeom>
                        <a:solidFill>
                          <a:prstClr val="white"/>
                        </a:solidFill>
                        <a:ln>
                          <a:noFill/>
                        </a:ln>
                        <a:effectLst/>
                      </wps:spPr>
                      <wps:txbx>
                        <w:txbxContent>
                          <w:p w14:paraId="34B6E639" w14:textId="7B96FA83" w:rsidR="002C2D66" w:rsidRDefault="002C2D66"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C2D66" w:rsidRPr="004524B7" w:rsidRDefault="002C2D66" w:rsidP="00C95F6C">
                            <w:pPr>
                              <w:pStyle w:val="FigureCaption"/>
                              <w:rPr>
                                <w:b/>
                                <w:smallCaps/>
                                <w:spacing w:val="13"/>
                                <w:kern w:val="32"/>
                                <w:sz w:val="18"/>
                              </w:rPr>
                            </w:pPr>
                            <w:bookmarkStart w:id="1" w:name="_Ref415505730"/>
                            <w:r>
                              <w:t xml:space="preserve">Fig. </w:t>
                            </w:r>
                            <w:fldSimple w:instr=" SEQ Fig. \* ARABIC ">
                              <w:r>
                                <w:rPr>
                                  <w:noProof/>
                                </w:rPr>
                                <w:t>1</w:t>
                              </w:r>
                            </w:fldSimple>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0;margin-top:.1pt;width:512.65pt;height:213.85pt;z-index:25167001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zWlAOAIAAHoEAAAOAAAAZHJzL2Uyb0RvYy54bWysVMGO2jAQvVfqP1i+l0Ak2FVEWFFWVJXQ&#10;7kpQ7dk4DrFke1zbkNCv79hJ2HbbU9WLGc+M32Tem2H50GlFLsJ5Caaks8mUEmE4VNKcSvrtsP10&#10;T4kPzFRMgRElvQpPH1YfPyxbW4gcGlCVcARBjC9aW9ImBFtkmeeN0MxPwAqDwRqcZgGv7pRVjrWI&#10;rlWWT6eLrAVXWQdceI/exz5IVwm/rgUPz3XtRSCqpPhtIZ0uncd4ZqslK06O2Uby4TPYP3yFZtJg&#10;0RvUIwuMnJ38A0pL7sBDHSYcdAZ1LblIPWA3s+m7bvYNsyL1guR4e6PJ/z9Y/nR5cURWJc3znBLD&#10;NIp0EF0gn6Ej0YcMtdYXmLi3mBo6DKDSo9+jMzbe1U7HX2yJYBy5vt74jXAcnYv5bDrPcSI4xvK7&#10;2fxucR9xsrfn1vnwRYAm0SipQwETr+yy86FPHVNiNQ9KVlupVLzEwEY5cmEodtvIIAbw37KUibkG&#10;4qsesPeINC1Dldhx31m0QnfsEke3ro9QXZEMB/1Aecu3EqvvmA8vzOEEYf+4FeEZj1pBW1IYLEoa&#10;cD/+5o/5KCxGKWlxIkvqv5+ZE5SorwYlj+M7Gm40jqNhznoD2PcM983yZOIDF9Ro1g70Ky7LOlbB&#10;EDMca5U0jOYm9HuBy8bFep2ScEgtCzuztzxCjywfulfm7KBRQHmfYJxVVryTqs9NYtn1OSDvScfI&#10;a88i6h8vOOBpEoZljBv06z1lvf1lrH4CAAD//wMAUEsDBBQABgAIAAAAIQDQ279O3gAAAAYBAAAP&#10;AAAAZHJzL2Rvd25yZXYueG1sTI8xT8MwFIR3JP6D9ZBYEHVIQ4GQl6qqYKBLRejC5savcSB+jmKn&#10;Df8ed4LxdKe774rlZDtxpMG3jhHuZgkI4trplhuE3cfr7SMIHxRr1TkmhB/ysCwvLwqVa3fidzpW&#10;oRGxhH2uEEwIfS6lrw1Z5WeuJ47ewQ1WhSiHRupBnWK57WSaJAtpVctxwaie1obq72q0CNvsc2tu&#10;xsPLZpXNh7fduF58NRXi9dW0egYRaAp/YTjjR3QoI9Pejay96BDikYCQgjh7SXo/B7FHyNKHJ5Bl&#10;If/jl78AAAD//wMAUEsBAi0AFAAGAAgAAAAhALaDOJL+AAAA4QEAABMAAAAAAAAAAAAAAAAAAAAA&#10;AFtDb250ZW50X1R5cGVzXS54bWxQSwECLQAUAAYACAAAACEAOP0h/9YAAACUAQAACwAAAAAAAAAA&#10;AAAAAAAvAQAAX3JlbHMvLnJlbHNQSwECLQAUAAYACAAAACEAJc1pQDgCAAB6BAAADgAAAAAAAAAA&#10;AAAAAAAuAgAAZHJzL2Uyb0RvYy54bWxQSwECLQAUAAYACAAAACEA0Nu/Tt4AAAAGAQAADwAAAAAA&#10;AAAAAAAAAACSBAAAZHJzL2Rvd25yZXYueG1sUEsFBgAAAAAEAAQA8wAAAJ0FAAAAAA==&#10;" o:allowoverlap="f" stroked="f">
                <v:textbox style="mso-fit-shape-to-text:t" inset="0,0,0,0">
                  <w:txbxContent>
                    <w:p w14:paraId="34B6E639" w14:textId="7B96FA83" w:rsidR="002C2D66" w:rsidRDefault="002C2D66"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10">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6BF13E68" w:rsidR="002C2D66" w:rsidRPr="004524B7" w:rsidRDefault="002C2D66" w:rsidP="00C95F6C">
                      <w:pPr>
                        <w:pStyle w:val="FigureCaption"/>
                        <w:rPr>
                          <w:b/>
                          <w:smallCaps/>
                          <w:spacing w:val="13"/>
                          <w:kern w:val="32"/>
                          <w:sz w:val="18"/>
                        </w:rPr>
                      </w:pPr>
                      <w:bookmarkStart w:id="1" w:name="_Ref415505730"/>
                      <w:r>
                        <w:t xml:space="preserve">Fig. </w:t>
                      </w:r>
                      <w:fldSimple w:instr=" SEQ Fig. \* ARABIC ">
                        <w:r>
                          <w:rPr>
                            <w:noProof/>
                          </w:rPr>
                          <w:t>1</w:t>
                        </w:r>
                      </w:fldSimple>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w:t>
                      </w:r>
                    </w:p>
                  </w:txbxContent>
                </v:textbox>
                <w10:wrap type="topAndBottom" anchorx="margin" anchory="margin"/>
              </v:shape>
            </w:pict>
          </mc:Fallback>
        </mc:AlternateContent>
      </w:r>
      <w:r w:rsidR="000E1078">
        <w:t xml:space="preserve">Harrison </w:t>
      </w:r>
      <w:r w:rsidR="000E1078" w:rsidRPr="000E1078">
        <w:rPr>
          <w:i/>
        </w:rPr>
        <w:t>et al.</w:t>
      </w:r>
      <w:r w:rsidR="000E1078">
        <w:t xml:space="preserve"> </w:t>
      </w:r>
      <w:r w:rsidR="000E1078">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0E1078">
        <w:fldChar w:fldCharType="separate"/>
      </w:r>
      <w:r w:rsidR="000E1078" w:rsidRPr="000E1078">
        <w:rPr>
          <w:noProof/>
        </w:rPr>
        <w:t>[1]</w:t>
      </w:r>
      <w:r w:rsidR="000E1078">
        <w:fldChar w:fldCharType="end"/>
      </w:r>
      <w:r w:rsidR="000E1078">
        <w:t xml:space="preserve"> used </w:t>
      </w:r>
      <w:r w:rsidR="00916FA9">
        <w:t>such an approach</w:t>
      </w:r>
      <w:r w:rsidR="00423F2A">
        <w:t xml:space="preserve">, </w:t>
      </w:r>
      <w:r w:rsidR="00916FA9">
        <w:t xml:space="preserve">following after </w:t>
      </w:r>
      <w:r w:rsidR="00423F2A" w:rsidRPr="00584487">
        <w:t>Rensink</w:t>
      </w:r>
      <w:r w:rsidR="00423F2A">
        <w:t xml:space="preserve"> &amp; Baldridge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rsidR="000E1078">
        <w:t xml:space="preserve">they took the mean of all individual observations </w:t>
      </w:r>
      <w:r w:rsidR="002E5C04">
        <w:t xml:space="preserve">of JND </w:t>
      </w:r>
      <w:r w:rsidR="000E1078">
        <w:t>within each condition (</w:t>
      </w:r>
      <w:r w:rsidR="002E5C04">
        <w:t xml:space="preserve">where </w:t>
      </w:r>
      <w:r w:rsidR="000E1078">
        <w:t xml:space="preserve">each condition </w:t>
      </w:r>
      <w:r w:rsidR="002E5C04">
        <w:t xml:space="preserve">is </w:t>
      </w:r>
      <w:r w:rsidR="000E1078">
        <w:t>defined as a uniqu</w:t>
      </w:r>
      <w:r w:rsidR="00A71C65">
        <w:t>e combination of visualization </w:t>
      </w:r>
      <w:r w:rsidR="00A71C65" w:rsidRPr="00DA164E">
        <w:t>×</w:t>
      </w:r>
      <w:r w:rsidR="00A71C65">
        <w:t> direction </w:t>
      </w:r>
      <w:r w:rsidR="00A71C65" w:rsidRPr="00DA164E">
        <w:t>×</w:t>
      </w:r>
      <w:r w:rsidR="00A71C65">
        <w:t> </w:t>
      </w:r>
      <w:r w:rsidR="000E1078">
        <w:t>approach</w:t>
      </w:r>
      <w:r w:rsidR="00A71C65">
        <w:t> </w:t>
      </w:r>
      <w:r w:rsidR="00A71C65" w:rsidRPr="00DA164E">
        <w:t>×</w:t>
      </w:r>
      <w:r w:rsidR="00A71C65">
        <w:t> </w:t>
      </w:r>
      <w:r w:rsidR="00980D3C" w:rsidRPr="00980D3C">
        <w:rPr>
          <w:i/>
        </w:rPr>
        <w:t>r</w:t>
      </w:r>
      <w:r w:rsidR="000E1078">
        <w:t xml:space="preserve">). </w:t>
      </w:r>
      <w:r w:rsidR="00980D3C">
        <w:t xml:space="preserve">They then modelled the relationship between </w:t>
      </w:r>
      <w:r w:rsidR="000E1078">
        <w:t xml:space="preserve">the value of </w:t>
      </w:r>
      <w:r w:rsidR="000E1078" w:rsidRPr="000E1078">
        <w:rPr>
          <w:i/>
        </w:rPr>
        <w:t>r</w:t>
      </w:r>
      <w:r w:rsidR="000E1078">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DE242E">
        <w:t xml:space="preserve">Fig. </w:t>
      </w:r>
      <w:r w:rsidR="00DE242E">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rsidR="000E1078">
        <w:t xml:space="preserve"> performance of a </w:t>
      </w:r>
      <w:r w:rsidR="00423F2A">
        <w:t>group of people</w:t>
      </w:r>
      <w:r w:rsidR="000E1078">
        <w:t xml:space="preserve"> from the population</w:t>
      </w:r>
      <w:r w:rsidR="00423F2A">
        <w:t>,</w:t>
      </w:r>
      <w:r w:rsidR="00980D3C">
        <w:t xml:space="preserve"> </w:t>
      </w:r>
      <w:r w:rsidR="002E5C04">
        <w:t xml:space="preserve">but </w:t>
      </w:r>
      <w:r w:rsidR="00980D3C">
        <w:t>not the performance of any individual</w:t>
      </w:r>
      <w:r w:rsidR="00A71C65">
        <w:t>.</w:t>
      </w:r>
    </w:p>
    <w:p w14:paraId="4FF585AE" w14:textId="5D60E4AE" w:rsidR="00AB0820" w:rsidRDefault="000E1078" w:rsidP="00C95F6C">
      <w:pPr>
        <w:pStyle w:val="Body"/>
      </w:pPr>
      <w:r>
        <w:t>What this omits is any sense of the variance in individual performance</w:t>
      </w:r>
      <w:r w:rsidR="00423F2A">
        <w:t>, which diminishes the explanatory power of such models</w:t>
      </w:r>
      <w:r>
        <w:t xml:space="preserve">. </w:t>
      </w:r>
      <w:r w:rsidR="00423F2A">
        <w:t>F</w:t>
      </w:r>
      <w:r>
        <w:t xml:space="preserve">or example, </w:t>
      </w:r>
      <w:r w:rsidR="00423F2A">
        <w:t xml:space="preserve">it may be </w:t>
      </w:r>
      <w:r>
        <w:t xml:space="preserve">that </w:t>
      </w:r>
      <w:r w:rsidR="002E5C04">
        <w:t xml:space="preserve">visualization </w:t>
      </w:r>
      <w:r w:rsidR="002E5C04" w:rsidRPr="00A71C65">
        <w:rPr>
          <w:i/>
        </w:rPr>
        <w:t>A</w:t>
      </w:r>
      <w:r>
        <w:t xml:space="preserve"> exhibit</w:t>
      </w:r>
      <w:r w:rsidR="002E5C04">
        <w:t>s</w:t>
      </w:r>
      <w:r>
        <w:t xml:space="preserve"> </w:t>
      </w:r>
      <w:r w:rsidR="002E5C04">
        <w:t xml:space="preserve">high </w:t>
      </w:r>
      <w:r>
        <w:t xml:space="preserve">precision of estimation </w:t>
      </w:r>
      <w:r w:rsidR="002E5C04">
        <w:t>(low</w:t>
      </w:r>
      <w:r w:rsidR="00980D3C">
        <w:t xml:space="preserve"> JND) </w:t>
      </w:r>
      <w:r>
        <w:t xml:space="preserve">in the average case — but that </w:t>
      </w:r>
      <w:r w:rsidR="002E5C04">
        <w:t xml:space="preserve">its </w:t>
      </w:r>
      <w:r>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t>slightly worse</w:t>
      </w:r>
      <w:r w:rsidR="00980D3C">
        <w:t xml:space="preserve"> on average but which </w:t>
      </w:r>
      <w:r>
        <w:t xml:space="preserve">is more consistent across individuals. Without considering variance, we have no way of knowing whether such differences exist, and we may be led </w:t>
      </w:r>
      <w:r w:rsidR="00A71C65">
        <w:t xml:space="preserve">(for example) </w:t>
      </w:r>
      <w:r>
        <w:t xml:space="preserve">to choose </w:t>
      </w:r>
      <w:r w:rsidR="00634CA6">
        <w:t>to</w:t>
      </w:r>
      <w:r>
        <w:t xml:space="preserve"> deploy a </w:t>
      </w:r>
      <w:r w:rsidR="002E5C04">
        <w:t>visualization</w:t>
      </w:r>
      <w:r>
        <w:t xml:space="preserve"> that has slightly better average-case performance but which elicits much worse performance for some substantial portion of the population. </w:t>
      </w:r>
      <w:r w:rsidR="00D37FB5">
        <w:t xml:space="preserve">This is exactly the problem of the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7D86612B" w:rsidR="00980D3C" w:rsidRDefault="00EC4281" w:rsidP="00C95F6C">
      <w:pPr>
        <w:pStyle w:val="Body"/>
      </w:pPr>
      <w:r>
        <w:t xml:space="preserve">Only </w:t>
      </w:r>
      <w:r w:rsidR="002C2D66">
        <w:t>analyzing</w:t>
      </w:r>
      <w:r w:rsidR="00D87AE0">
        <w:t xml:space="preserve"> group means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(like Rensink &amp; Baldridge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 </w:t>
      </w:r>
      <w:r w:rsidR="00634CA6">
        <w:t xml:space="preserve">for example, as </w:t>
      </w:r>
      <w:r w:rsidR="00980D3C">
        <w:t>the percent of variation explained by the model —</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48CE3BB9"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interpretable effect sizes —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2" w:name="_Ref415008636"/>
      <w:r w:rsidRPr="00AB0820">
        <w:t>Model</w:t>
      </w:r>
      <w:r w:rsidRPr="00AF146E">
        <w:t xml:space="preserve"> 1: Linear Model</w:t>
      </w:r>
      <w:bookmarkEnd w:id="2"/>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error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381BF531"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69DE972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2C2D66" w:rsidRPr="00E553A6" w:rsidRDefault="002C2D66"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1">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2D66" w:rsidRPr="00E553A6" w:rsidRDefault="002C2D66" w:rsidP="00C95F6C">
                            <w:pPr>
                              <w:pStyle w:val="FigureCaption"/>
                            </w:pPr>
                            <w:bookmarkStart w:id="3" w:name="_Ref415065078"/>
                            <w:r w:rsidRPr="00E553A6">
                              <w:t xml:space="preserve">Fig. </w:t>
                            </w:r>
                            <w:fldSimple w:instr=" SEQ Fig. \* ARABIC ">
                              <w:r>
                                <w:rPr>
                                  <w:noProof/>
                                </w:rPr>
                                <w:t>2</w:t>
                              </w:r>
                            </w:fldSimple>
                            <w:bookmarkEnd w:id="3"/>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2C2D66" w:rsidRPr="00E553A6" w:rsidRDefault="002C2D66"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2">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2D66" w:rsidRPr="00E553A6" w:rsidRDefault="002C2D66" w:rsidP="00C95F6C">
                      <w:pPr>
                        <w:pStyle w:val="FigureCaption"/>
                      </w:pPr>
                      <w:bookmarkStart w:id="4" w:name="_Ref415065078"/>
                      <w:r w:rsidRPr="00E553A6">
                        <w:t xml:space="preserve">Fig. </w:t>
                      </w:r>
                      <w:fldSimple w:instr=" SEQ Fig. \* ARABIC ">
                        <w:r>
                          <w:rPr>
                            <w:noProof/>
                          </w:rPr>
                          <w:t>2</w:t>
                        </w:r>
                      </w:fldSimple>
                      <w:bookmarkEnd w:id="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r w:rsidR="003B52D8" w:rsidRPr="00584487">
        <w:t>Rensink</w:t>
      </w:r>
      <w:r w:rsidR="00584487">
        <w:t xml:space="preserve"> &amp; Baldridge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p>
    <w:p w14:paraId="1D817C44" w14:textId="200278C4"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by the variable</w:t>
      </w:r>
      <w:r>
        <w:t xml:space="preserve">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274317"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324B6B0F"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r>
        <w:rPr>
          <w:i/>
        </w:rPr>
        <w:t>r</w:t>
      </w:r>
      <w:r>
        <w:t xml:space="preserve"> are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DE242E" w:rsidRPr="00E553A6">
        <w:t xml:space="preserve">Fig. </w:t>
      </w:r>
      <w:r w:rsidR="00DE242E">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E242E">
        <w:t xml:space="preserve">Fig. </w:t>
      </w:r>
      <w:r w:rsidR="00DE242E">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term </w:t>
      </w:r>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7860B81E"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error,</w:t>
      </w:r>
      <w:r w:rsidR="002C2D66">
        <w:t xml:space="preserve"> </w:t>
      </w:r>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DE242E">
        <w:t xml:space="preserve">Fig. </w:t>
      </w:r>
      <w:r w:rsidR="00DE242E">
        <w:rPr>
          <w:noProof/>
        </w:rPr>
        <w:t>3</w:t>
      </w:r>
      <w:r w:rsidR="00653F3B">
        <w:rPr>
          <w:highlight w:val="yellow"/>
        </w:rPr>
        <w:fldChar w:fldCharType="end"/>
      </w:r>
      <w:r w:rsidR="00653F3B">
        <w:t xml:space="preserve">A.1 shows a sample plot of the model fit for scatterplot-negative: we can see that when </w:t>
      </w:r>
      <w:r w:rsidR="00653F3B">
        <w:rPr>
          <w:i/>
        </w:rPr>
        <w:t xml:space="preserve">r </w:t>
      </w:r>
      <w:r w:rsidR="00653F3B">
        <w:t>is high, the variance of the residuals gets smaller, violating this assumption.</w:t>
      </w:r>
    </w:p>
    <w:p w14:paraId="5915797F" w14:textId="77D47995"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DE242E">
        <w:t xml:space="preserve">Fig. </w:t>
      </w:r>
      <w:r w:rsidR="00DE242E">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 xml:space="preserve">This is consistent with the example fit of scatterplot-negative,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E242E">
        <w:t xml:space="preserve">Fig. </w:t>
      </w:r>
      <w:r w:rsidR="00DE242E">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DE242E">
        <w:t xml:space="preserve">Fig. </w:t>
      </w:r>
      <w:r w:rsidR="00DE242E">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4" w:name="_Ref415008651"/>
      <w:r w:rsidRPr="00AF146E">
        <w:t>Model 2: Log-Linear Model</w:t>
      </w:r>
      <w:bookmarkEnd w:id="4"/>
    </w:p>
    <w:p w14:paraId="5E3AD50E" w14:textId="65EAA0E2" w:rsidR="009B0E57"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 as the residual distribution has the approximate appearance of a log-normal distribution.</w:t>
      </w:r>
      <w:r w:rsidR="00645A2C">
        <w:rPr>
          <w:rStyle w:val="FootnoteReference"/>
        </w:rPr>
        <w:footnoteReference w:id="2"/>
      </w:r>
      <w:r>
        <w:t xml:space="preserve"> This transformation also has the useful property that the resulting model retains some interpretability: coefficients of this model th</w:t>
      </w:r>
      <w:r w:rsidR="00645A2C">
        <w:t>at</w:t>
      </w:r>
      <w:r>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0410D1FA" w:rsidR="00645A2C" w:rsidRDefault="00645A2C" w:rsidP="006E1133">
      <w:pPr>
        <w:pStyle w:val="BodyNoIndent"/>
      </w:pPr>
      <w:r>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DE242E">
        <w:t xml:space="preserve">Fig. </w:t>
      </w:r>
      <w:r w:rsidR="00DE242E">
        <w:rPr>
          <w:noProof/>
        </w:rPr>
        <w:t>3</w:t>
      </w:r>
      <w:r w:rsidR="008971C7">
        <w:rPr>
          <w:highlight w:val="yellow"/>
        </w:rPr>
        <w:fldChar w:fldCharType="end"/>
      </w:r>
      <w:r w:rsidR="008971C7">
        <w:t>B</w:t>
      </w:r>
      <w:r>
        <w:t xml:space="preserve">), we can see that the fit no longer suffers from problems of non-constant variance or skewed residuals. </w:t>
      </w:r>
      <w:r w:rsidR="004B5468">
        <w:t>This fit also exhibits lower AIC than the linear model (</w:t>
      </w:r>
      <m:oMath>
        <m:r>
          <w:rPr>
            <w:rFonts w:ascii="Cambria Math" w:hAnsi="Cambria Math"/>
          </w:rPr>
          <m:t>-11683</m:t>
        </m:r>
      </m:oMath>
      <w:r w:rsidR="004D14EF">
        <w:t xml:space="preserve"> </w:t>
      </w:r>
      <w:r w:rsidR="004B5468">
        <w:t>versus</w:t>
      </w:r>
      <w:r w:rsidR="004D14EF">
        <w:t xml:space="preserve"> </w:t>
      </w:r>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3"/>
      </w:r>
      <w:r w:rsidR="004B5468">
        <w:t xml:space="preserve"> </w:t>
      </w:r>
      <w:r>
        <w:t xml:space="preserve">The residual distribution more closely </w:t>
      </w:r>
      <w:r>
        <w:lastRenderedPageBreak/>
        <w:t>matches the normal distribution assumed by the model.</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s that are less than 0</w:t>
      </w:r>
      <w:r w:rsidR="008560D3">
        <w:t xml:space="preserve">, </w:t>
      </w:r>
      <w:r w:rsidR="00701E02">
        <w:t xml:space="preserve">that </w:t>
      </w:r>
      <w:r w:rsidR="008560D3">
        <w:t>the log-linear model does not.</w:t>
      </w:r>
    </w:p>
    <w:p w14:paraId="0F5E1CFC" w14:textId="77777777"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3EFBBC4A" w:rsidR="008560D3" w:rsidRDefault="00EC4281" w:rsidP="00C95F6C">
      <w:pPr>
        <w:pStyle w:val="Body"/>
      </w:pPr>
      <w:r w:rsidRPr="00AF146E">
        <w:rPr>
          <w:noProof/>
        </w:rPr>
        <mc:AlternateContent>
          <mc:Choice Requires="wps">
            <w:drawing>
              <wp:anchor distT="45720" distB="45720" distL="114300" distR="114300" simplePos="0" relativeHeight="251660800" behindDoc="0" locked="0" layoutInCell="1" allowOverlap="0" wp14:anchorId="5D898B75" wp14:editId="701CDACE">
                <wp:simplePos x="0" y="0"/>
                <wp:positionH relativeFrom="margin">
                  <wp:posOffset>0</wp:posOffset>
                </wp:positionH>
                <wp:positionV relativeFrom="page">
                  <wp:posOffset>632460</wp:posOffset>
                </wp:positionV>
                <wp:extent cx="6506210" cy="5426710"/>
                <wp:effectExtent l="0" t="0" r="4445" b="254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26710"/>
                        </a:xfrm>
                        <a:prstGeom prst="rect">
                          <a:avLst/>
                        </a:prstGeom>
                        <a:solidFill>
                          <a:srgbClr val="FFFFFF"/>
                        </a:solidFill>
                        <a:ln w="9525">
                          <a:noFill/>
                          <a:miter lim="800000"/>
                          <a:headEnd/>
                          <a:tailEnd/>
                        </a:ln>
                      </wps:spPr>
                      <wps:txbx>
                        <w:txbxContent>
                          <w:p w14:paraId="6A8C6E8F" w14:textId="25E6575C" w:rsidR="002C2D66" w:rsidRPr="00850159" w:rsidRDefault="002C2D66"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3">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2C2D66" w:rsidRDefault="002C2D66" w:rsidP="00C95F6C">
                            <w:pPr>
                              <w:pStyle w:val="FigureCaption"/>
                            </w:pPr>
                            <w:bookmarkStart w:id="5" w:name="_Ref415007748"/>
                            <w:r>
                              <w:t xml:space="preserve">Fig. </w:t>
                            </w:r>
                            <w:fldSimple w:instr=" SEQ Fig. \* ARABIC ">
                              <w:r>
                                <w:rPr>
                                  <w:noProof/>
                                </w:rPr>
                                <w:t>3</w:t>
                              </w:r>
                            </w:fldSimple>
                            <w:bookmarkEnd w:id="5"/>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0;margin-top:49.8pt;width:512.3pt;height:427.3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4CjGgIAABUEAAAOAAAAZHJzL2Uyb0RvYy54bWysU1+P0zAMf0fiO0R5Z+0K2x3VutOxYwjp&#10;+CPd8QHcNF0j0jgk2drx6XHSbXfAGyIPkZ3YP9s/26ubsdfsIJ1XaCo+n+WcSSOwUWZX8W+P21fX&#10;nPkApgGNRlb8KD2/Wb98sRpsKQvsUDfSMQIxvhxsxbsQbJllXnSyBz9DKw19tuh6CKS6XdY4GAi9&#10;11mR58tsQNdYh0J6T6930ydfJ/y2lSJ8aVsvA9MVp9xCul2663hn6xWUOwe2U+KUBvxDFj0oQ0Ev&#10;UHcQgO2d+guqV8KhxzbMBPYZtq0SMtVA1czzP6p56MDKVAuR4+2FJv//YMXnw1fHVFPxYn7FmYGe&#10;mvQox8De4ciKyM9gfUlmD5YMw0jP1OdUq7f3KL57ZnDTgdnJW+dw6CQ0lN88embPXCccH0Hq4RM2&#10;FAb2ARPQ2Lo+kkd0MEKnPh0vvYmpCHpcLvJlMacvQX+LN8XyipQYA8qzu3U+fJDYsyhU3FHzEzwc&#10;7n2YTM8mMZpHrZqt0jopbldvtGMHoEHZpnNC/81MGzZU/O2iWCRkg9GfoKHsVaBB1qqv+HUeT3SH&#10;MtLx3jRJDqD0JFPS2pz4iZRM5ISxHlMrXkffyF2NzZEIczjNLe0ZCR26n5wNNLMV9z/24CRn+qMh&#10;0uOAnwV3FuqzAEaQa8UDZ5O4CWkRUvn2lpqxVYmmp8inFGn2EtGnPYnD/VxPVk/bvP4FAAD//wMA&#10;UEsDBBQABgAIAAAAIQCQiiXR2gAAAAgBAAAPAAAAZHJzL2Rvd25yZXYueG1sTI/BTsMwEETvSPyD&#10;tZW4oNYmCi0NcSpU6AdQ2rsbL0movQ6x24a/Z3uC2+7OaPZNuRq9E2ccYhdIw8NMgUCqg+2o0bD7&#10;2EyfQMRkyBoXCDX8YIRVdXtTmsKGC73jeZsawSEUC6OhTakvpIx1i97EWeiRWPsMgzeJ16GRdjAX&#10;DvdOZkrNpTcd8YfW9LhusT5uT16DuvebNeVve7eQ9vuVtfHLodZ3k/HlGUTCMf2Z4YrP6FAx0yGc&#10;yEbhOIN9GpbLOYirqrKcpwNfHvMMZFXK/wWqXwAAAP//AwBQSwECLQAUAAYACAAAACEAtoM4kv4A&#10;AADhAQAAEwAAAAAAAAAAAAAAAAAAAAAAW0NvbnRlbnRfVHlwZXNdLnhtbFBLAQItABQABgAIAAAA&#10;IQA4/SH/1gAAAJQBAAALAAAAAAAAAAAAAAAAAC8BAABfcmVscy8ucmVsc1BLAQItABQABgAIAAAA&#10;IQBLq4CjGgIAABUEAAAOAAAAAAAAAAAAAAAAAC4CAABkcnMvZTJvRG9jLnhtbFBLAQItABQABgAI&#10;AAAAIQCQiiXR2gAAAAgBAAAPAAAAAAAAAAAAAAAAAHQEAABkcnMvZG93bnJldi54bWxQSwUGAAAA&#10;AAQABADzAAAAewUAAAAA&#10;" o:allowoverlap="f" stroked="f">
                <v:textbox style="mso-fit-shape-to-text:t" inset="0,0,0,0">
                  <w:txbxContent>
                    <w:p w14:paraId="6A8C6E8F" w14:textId="25E6575C" w:rsidR="002C2D66" w:rsidRPr="00850159" w:rsidRDefault="002C2D66"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4">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77777777" w:rsidR="002C2D66" w:rsidRDefault="002C2D66" w:rsidP="00C95F6C">
                      <w:pPr>
                        <w:pStyle w:val="FigureCaption"/>
                      </w:pPr>
                      <w:bookmarkStart w:id="7" w:name="_Ref415007748"/>
                      <w:r>
                        <w:t xml:space="preserve">Fig. </w:t>
                      </w:r>
                      <w:fldSimple w:instr=" SEQ Fig. \* ARABIC ">
                        <w:r>
                          <w:rPr>
                            <w:noProof/>
                          </w:rPr>
                          <w:t>3</w:t>
                        </w:r>
                      </w:fldSimple>
                      <w:bookmarkEnd w:id="7"/>
                      <w:r>
                        <w:t xml:space="preserve"> Comparison of fits of the linear model (Section </w:t>
                      </w:r>
                      <w:r>
                        <w:fldChar w:fldCharType="begin"/>
                      </w:r>
                      <w:r>
                        <w:instrText xml:space="preserve"> REF _Ref415008636 \r \h </w:instrText>
                      </w:r>
                      <w:r>
                        <w:fldChar w:fldCharType="separate"/>
                      </w:r>
                      <w:r>
                        <w:t>3</w:t>
                      </w:r>
                      <w:r>
                        <w:fldChar w:fldCharType="end"/>
                      </w:r>
                      <w:r>
                        <w:t xml:space="preserve">) and the log-linear model (Section </w:t>
                      </w:r>
                      <w:r>
                        <w:fldChar w:fldCharType="begin"/>
                      </w:r>
                      <w:r>
                        <w:instrText xml:space="preserve"> REF _Ref415008651 \r \h </w:instrText>
                      </w:r>
                      <w:r>
                        <w:fldChar w:fldCharType="separate"/>
                      </w:r>
                      <w:r>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553ED8" w:rsidRPr="00553ED8">
        <w:rPr>
          <w:b/>
        </w:rPr>
        <w:t>Outliers</w:t>
      </w:r>
      <w:r w:rsidR="00553ED8">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rsidR="00553ED8">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rsidR="00553ED8">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6" w:name="_Ref415409868"/>
      <w:r w:rsidRPr="00AF146E">
        <w:t>Model 3: Censored Log-Linear Model</w:t>
      </w:r>
      <w:bookmarkEnd w:id="6"/>
    </w:p>
    <w:p w14:paraId="5498328E" w14:textId="49305078"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916FA9">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"[8], [9]", "plainTextFormattedCitation" : "[8], [9]", "previouslyFormattedCitation" : "[8], [9]" }, "properties" : { "noteIndex" : 0 }, "schema" : "https://github.com/citation-style-language/schema/raw/master/csl-citation.json" }</w:instrText>
      </w:r>
      <w:r w:rsidR="008154CE" w:rsidRPr="008154CE">
        <w:fldChar w:fldCharType="separate"/>
      </w:r>
      <w:r w:rsidR="00916FA9" w:rsidRPr="00916FA9">
        <w:rPr>
          <w:noProof/>
        </w:rPr>
        <w:t>[8], [9]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DE242E">
        <w:t xml:space="preserve">Fig. </w:t>
      </w:r>
      <w:r w:rsidR="00DE242E">
        <w:rPr>
          <w:noProof/>
        </w:rPr>
        <w:t>5</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 either because the setup of the experiment makes them indistinguishable from chance, or because of </w:t>
      </w:r>
      <w:r w:rsidR="00C63FB1" w:rsidRPr="00AF146E">
        <w:lastRenderedPageBreak/>
        <w:t xml:space="preserve">ceilings and floors in observable JND due to the bounds on </w:t>
      </w:r>
      <w:r w:rsidR="00C63FB1" w:rsidRPr="00C63FB1">
        <w:rPr>
          <w:i/>
        </w:rPr>
        <w:t>r</w:t>
      </w:r>
      <w:r w:rsidR="00C63FB1" w:rsidRPr="00AF146E">
        <w:t xml:space="preserve"> —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0AFE2D50" w:rsidR="002C6DE2" w:rsidRPr="002C6DE2" w:rsidRDefault="006E1133" w:rsidP="006E1133">
      <w:pPr>
        <w:pStyle w:val="ListParagraph"/>
        <w:rPr>
          <w:b/>
        </w:rPr>
      </w:pPr>
      <w:r w:rsidRPr="006E1133">
        <w:rPr>
          <w:b/>
        </w:rPr>
        <w:t>Chance</w:t>
      </w:r>
      <w:r w:rsidR="002C6DE2">
        <w:rPr>
          <w:b/>
        </w:rPr>
        <w:t xml:space="preserve"> = 0.45</w:t>
      </w:r>
      <w:r w:rsidRPr="006E1133">
        <w:rPr>
          <w:b/>
        </w:rPr>
        <w:t>:</w:t>
      </w:r>
      <w:r>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E242E">
        <w:t xml:space="preserve">Fig. </w:t>
      </w:r>
      <w:r w:rsidR="00DE242E">
        <w:rPr>
          <w:noProof/>
        </w:rPr>
        <w:t>4</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DE242E">
        <w:t xml:space="preserve">Fig. </w:t>
      </w:r>
      <w:r w:rsidR="00DE242E">
        <w:rPr>
          <w:noProof/>
        </w:rPr>
        <w:t>6</w:t>
      </w:r>
      <w:r w:rsidR="00D87CFD">
        <w:rPr>
          <w:highlight w:val="yellow"/>
        </w:rPr>
        <w:fldChar w:fldCharType="end"/>
      </w:r>
      <w:r w:rsidR="002C6DE2">
        <w:t>).</w:t>
      </w:r>
    </w:p>
    <w:p w14:paraId="3F321E4B" w14:textId="0287B4BA"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232C79CF">
                <wp:simplePos x="0" y="0"/>
                <wp:positionH relativeFrom="margin">
                  <wp:posOffset>3329940</wp:posOffset>
                </wp:positionH>
                <wp:positionV relativeFrom="margin">
                  <wp:posOffset>1270</wp:posOffset>
                </wp:positionV>
                <wp:extent cx="3181985" cy="2394585"/>
                <wp:effectExtent l="0" t="0" r="0" b="5715"/>
                <wp:wrapSquare wrapText="bothSides"/>
                <wp:docPr id="24" name="Text Box 24"/>
                <wp:cNvGraphicFramePr/>
                <a:graphic xmlns:a="http://schemas.openxmlformats.org/drawingml/2006/main">
                  <a:graphicData uri="http://schemas.microsoft.com/office/word/2010/wordprocessingShape">
                    <wps:wsp>
                      <wps:cNvSpPr txBox="1"/>
                      <wps:spPr>
                        <a:xfrm>
                          <a:off x="0" y="0"/>
                          <a:ext cx="3181985" cy="2394585"/>
                        </a:xfrm>
                        <a:prstGeom prst="rect">
                          <a:avLst/>
                        </a:prstGeom>
                        <a:solidFill>
                          <a:prstClr val="white"/>
                        </a:solidFill>
                        <a:ln>
                          <a:noFill/>
                        </a:ln>
                        <a:effectLst/>
                      </wps:spPr>
                      <wps:txbx>
                        <w:txbxContent>
                          <w:p w14:paraId="10EB003C" w14:textId="373E3656" w:rsidR="002C2D66" w:rsidRDefault="002C2D66"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5">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2D66" w:rsidRPr="00512C9E" w:rsidRDefault="002C2D66" w:rsidP="00512C9E">
                            <w:pPr>
                              <w:pStyle w:val="FigureCaption"/>
                              <w:rPr>
                                <w:rFonts w:ascii="Times" w:hAnsi="Times"/>
                                <w:b/>
                                <w:noProof/>
                                <w:sz w:val="18"/>
                              </w:rPr>
                            </w:pPr>
                            <w:bookmarkStart w:id="7" w:name="_Ref415530909"/>
                            <w:r>
                              <w:t xml:space="preserve">Fig. </w:t>
                            </w:r>
                            <w:fldSimple w:instr=" SEQ Fig. \* ARABIC ">
                              <w:r>
                                <w:rPr>
                                  <w:noProof/>
                                </w:rPr>
                                <w:t>4</w:t>
                              </w:r>
                            </w:fldSimple>
                            <w:bookmarkEnd w:id="7"/>
                            <w:r>
                              <w:t>. Data in two visualization </w:t>
                            </w:r>
                            <w:r w:rsidRPr="00DA164E">
                              <w:t>×</w:t>
                            </w:r>
                            <w:r>
                              <w:t xml:space="preserve"> direction pairs for approach </w:t>
                            </w:r>
                            <w:r w:rsidRPr="00512C9E">
                              <w:rPr>
                                <w:i/>
                              </w:rPr>
                              <w:t>from above</w:t>
                            </w:r>
                            <w:r w:rsidR="006F7D37">
                              <w:t xml:space="preserve">. The </w:t>
                            </w:r>
                            <w:r>
                              <w:t xml:space="preserve">ceilings used to derive censoring thresholds for this approach are </w:t>
                            </w:r>
                            <w:r w:rsidR="006F7D37">
                              <w:t>shown</w:t>
                            </w:r>
                            <w:r>
                              <w:t>.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0" type="#_x0000_t202" style="position:absolute;left:0;text-align:left;margin-left:262.2pt;margin-top:.1pt;width:250.55pt;height:188.55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fkOAIAAHgEAAAOAAAAZHJzL2Uyb0RvYy54bWysVMFu2zAMvQ/YPwi6L07SdmiNOEWWIsOA&#10;oC2QDD0rshwbkESNUmJnXz9KjtOu22nYRaFI6tF8j8zsvjOaHRX6BmzBJ6MxZ8pKKBu7L/j37erT&#10;LWc+CFsKDVYV/KQ8v59//DBrXa6mUIMuFTICsT5vXcHrEFyeZV7Wygg/AqcsBStAIwJdcZ+VKFpC&#10;NzqbjsefsxawdAhSeU/ehz7I5wm/qpQMT1XlVWC64PRtIZ2Yzl08s/lM5HsUrm7k+TPEP3yFEY2l&#10;oheoBxEEO2DzB5RpJIKHKowkmAyqqpEq9UDdTMbvutnUwqnUC5Hj3YUm//9g5ePxGVlTFnx6zZkV&#10;hjTaqi6wL9AxchE/rfM5pW0cJYaO/KTz4PfkjG13FZr4Sw0xihPTpwu7EU2S82pyO7m7veFMUmx6&#10;dXd9QxfCz16fO/ThqwLDolFwJPkSq+K49qFPHVJiNQ+6KVeN1vESA0uN7ChI6rZugjqD/5albcy1&#10;EF/1gL1HpVk5V4kd951FK3S7LjF0YWMH5YnIQOjHyTu5aqj6WvjwLJDmh/qnnQhPdFQa2oLD2eKs&#10;Bvz5N3/MJ1kpyllL81hw/+MgUHGmv1kSPA7vYOBg7AbDHswSqO8JbZuTyaQHGPRgVgjmhVZlEatQ&#10;SFhJtQoeBnMZ+q2gVZNqsUhJNKJOhLXdOBmhB5a33YtAd9YokLyPMEyqyN9J1ecmsdziEIj3pGPk&#10;tWeR9I8XGu80CedVjPvz9p6yXv8w5r8AAAD//wMAUEsDBBQABgAIAAAAIQD8ymP04AAAAAkBAAAP&#10;AAAAZHJzL2Rvd25yZXYueG1sTI8/T8MwFMR3JL6D9ZBYEHXInxaFOFVVwQBLRejC5savcSB+jmyn&#10;Dd8ed4LxdKe731Xr2QzshM73lgQ8LBJgSK1VPXUC9h8v94/AfJCk5GAJBfygh3V9fVXJUtkzveOp&#10;CR2LJeRLKUCHMJac+1ajkX5hR6ToHa0zMkTpOq6cPMdyM/A0SZbcyJ7igpYjbjW2381kBOzyz52+&#10;m47Pb5s8c6/7abv86hohbm/mzROwgHP4C8MFP6JDHZkOdiLl2SCgSPM8RgWkwC52khYFsIOAbLXK&#10;gNcV//+g/gUAAP//AwBQSwECLQAUAAYACAAAACEAtoM4kv4AAADhAQAAEwAAAAAAAAAAAAAAAAAA&#10;AAAAW0NvbnRlbnRfVHlwZXNdLnhtbFBLAQItABQABgAIAAAAIQA4/SH/1gAAAJQBAAALAAAAAAAA&#10;AAAAAAAAAC8BAABfcmVscy8ucmVsc1BLAQItABQABgAIAAAAIQBu7+fkOAIAAHgEAAAOAAAAAAAA&#10;AAAAAAAAAC4CAABkcnMvZTJvRG9jLnhtbFBLAQItABQABgAIAAAAIQD8ymP04AAAAAkBAAAPAAAA&#10;AAAAAAAAAAAAAJIEAABkcnMvZG93bnJldi54bWxQSwUGAAAAAAQABADzAAAAnwUAAAAA&#10;" stroked="f">
                <v:textbox style="mso-fit-shape-to-text:t" inset="0,0,0,0">
                  <w:txbxContent>
                    <w:p w14:paraId="10EB003C" w14:textId="373E3656" w:rsidR="002C2D66" w:rsidRDefault="002C2D66"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6">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2D66" w:rsidRPr="00512C9E" w:rsidRDefault="002C2D66" w:rsidP="00512C9E">
                      <w:pPr>
                        <w:pStyle w:val="FigureCaption"/>
                        <w:rPr>
                          <w:rFonts w:ascii="Times" w:hAnsi="Times"/>
                          <w:b/>
                          <w:noProof/>
                          <w:sz w:val="18"/>
                        </w:rPr>
                      </w:pPr>
                      <w:bookmarkStart w:id="10" w:name="_Ref415530909"/>
                      <w:r>
                        <w:t xml:space="preserve">Fig. </w:t>
                      </w:r>
                      <w:fldSimple w:instr=" SEQ Fig. \* ARABIC ">
                        <w:r>
                          <w:rPr>
                            <w:noProof/>
                          </w:rPr>
                          <w:t>4</w:t>
                        </w:r>
                      </w:fldSimple>
                      <w:bookmarkEnd w:id="10"/>
                      <w:r>
                        <w:t>. Data in two visualization </w:t>
                      </w:r>
                      <w:r w:rsidRPr="00DA164E">
                        <w:t>×</w:t>
                      </w:r>
                      <w:r>
                        <w:t xml:space="preserve"> direction pairs for approach </w:t>
                      </w:r>
                      <w:r w:rsidRPr="00512C9E">
                        <w:rPr>
                          <w:i/>
                        </w:rPr>
                        <w:t>from above</w:t>
                      </w:r>
                      <w:r w:rsidR="006F7D37">
                        <w:t xml:space="preserve">. The </w:t>
                      </w:r>
                      <w:r>
                        <w:t xml:space="preserve">ceilings used to derive censoring thresholds for this approach are </w:t>
                      </w:r>
                      <w:r w:rsidR="006F7D37">
                        <w:t>shown</w:t>
                      </w:r>
                      <w:r>
                        <w:t>. Note how data bunches up near those thresholds.</w:t>
                      </w:r>
                    </w:p>
                  </w:txbxContent>
                </v:textbox>
                <w10:wrap type="square" anchorx="margin" anchory="margin"/>
              </v:shape>
            </w:pict>
          </mc:Fallback>
        </mc:AlternateContent>
      </w:r>
      <w:r>
        <w:rPr>
          <w:noProof/>
        </w:rPr>
        <mc:AlternateContent>
          <mc:Choice Requires="wps">
            <w:drawing>
              <wp:anchor distT="0" distB="0" distL="114300" distR="114300" simplePos="0" relativeHeight="251665920" behindDoc="0" locked="0" layoutInCell="1" allowOverlap="0" wp14:anchorId="123F5AEA" wp14:editId="291C8A94">
                <wp:simplePos x="0" y="0"/>
                <wp:positionH relativeFrom="margin">
                  <wp:align>left</wp:align>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2C2D66" w:rsidRDefault="002C2D66"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7">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2D66" w:rsidRPr="00A573A0" w:rsidRDefault="002C2D66" w:rsidP="00C95F6C">
                            <w:pPr>
                              <w:pStyle w:val="FigureCaption"/>
                              <w:rPr>
                                <w:rFonts w:ascii="Cambria Math" w:hAnsi="Cambria Math"/>
                                <w:noProof/>
                                <w:sz w:val="18"/>
                              </w:rPr>
                            </w:pPr>
                            <w:bookmarkStart w:id="8" w:name="_Ref415264541"/>
                            <w:r>
                              <w:t xml:space="preserve">Fig. </w:t>
                            </w:r>
                            <w:fldSimple w:instr=" SEQ Fig. \* ARABIC ">
                              <w:r>
                                <w:rPr>
                                  <w:noProof/>
                                </w:rPr>
                                <w:t>5</w:t>
                              </w:r>
                            </w:fldSimple>
                            <w:bookmarkEnd w:id="8"/>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1"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2euNgIAAHYEAAAOAAAAZHJzL2Uyb0RvYy54bWysVFFv2jAQfp+0/2D5fQQodFVEqBgV0yTU&#10;VoKpz8ZxiCXb59mGhP36nZ2Edt2epr2Y892XO9/33bG4b7UiZ+G8BFPQyWhMiTAcSmmOBf2+33y6&#10;o8QHZkqmwIiCXoSn98uPHxaNzcUUalClcASTGJ83tqB1CDbPMs9roZkfgRUGgxU4zQJe3TErHWsw&#10;u1bZdDy+zRpwpXXAhffofeiCdJnyV5Xg4amqvAhEFRTfFtLp0nmIZ7ZcsPzomK0l75/B/uEVmkmD&#10;Ra+pHlhg5OTkH6m05A48VGHEQWdQVZKL1AN2Mxm/62ZXMytSL0iOt1ea/P9Lyx/Pz47IErWjxDCN&#10;Eu1FG8gXaMkkstNYnyNoZxEWWnRHZO/36IxNt5XT8RfbIRhHni9XbmMyjs6byXx2e4chjrHpfHrz&#10;eTaLebLXz63z4asATaJRUIfiJU7ZeetDBx0gsZoHJcuNVCpeYmCtHDkzFLqpZRB98t9QykSsgfhV&#10;l7DziDQpfZXYcddZtEJ7aBM/86HrA5QXJMNBN0ze8o3E6lvmwzNzOD3YJG5EeMKjUtAUFHqLkhrc&#10;z7/5Ix5FxSglDU5jQf2PE3OCEvXNoNxxdAfDDcZhMMxJrwH7RgnxNcnED1xQg1k50C+4KKtYBUPM&#10;cKxV0DCY69DtBC4aF6tVAuGAWha2Zmd5TD2wvG9fmLO9RgHlfYRhTln+TqoOm8Syq1NA3pOOkdeO&#10;RdQ/XnC40yT0ixi35+09oV7/Lpa/AAAA//8DAFBLAwQUAAYACAAAACEA2zls7t0AAAAFAQAADwAA&#10;AGRycy9kb3ducmV2LnhtbEyPMU/DMBSEdyT+g/WQWBB1aKPQhrxUVQUDLBWhSzc3ceNA/BzZThv+&#10;PY8JxtOd7r4r1pPtxVn70DlCeJglIDTVrumoRdh/vNwvQYSoqFG9I43wrQOsy+urQuWNu9C7Plex&#10;FVxCIVcIJsYhlzLURlsVZm7QxN7JeasiS9/KxqsLl9tezpMkk1Z1xAtGDXprdP1VjRZhlx525m48&#10;Pb9t0oV/3Y/b7LOtEG9vps0TiKin+BeGX3xGh5KZjm6kJogegY9EhDkI9tJVxjeOCIvVYwayLOR/&#10;+vIHAAD//wMAUEsBAi0AFAAGAAgAAAAhALaDOJL+AAAA4QEAABMAAAAAAAAAAAAAAAAAAAAAAFtD&#10;b250ZW50X1R5cGVzXS54bWxQSwECLQAUAAYACAAAACEAOP0h/9YAAACUAQAACwAAAAAAAAAAAAAA&#10;AAAvAQAAX3JlbHMvLnJlbHNQSwECLQAUAAYACAAAACEA7PtnrjYCAAB2BAAADgAAAAAAAAAAAAAA&#10;AAAuAgAAZHJzL2Uyb0RvYy54bWxQSwECLQAUAAYACAAAACEA2zls7t0AAAAFAQAADwAAAAAAAAAA&#10;AAAAAACQBAAAZHJzL2Rvd25yZXYueG1sUEsFBgAAAAAEAAQA8wAAAJoFAAAAAA==&#10;" o:allowoverlap="f" stroked="f">
                <v:textbox style="mso-fit-shape-to-text:t" inset="0,0,0,0">
                  <w:txbxContent>
                    <w:p w14:paraId="2BA8E535" w14:textId="24ADC0DF" w:rsidR="002C2D66" w:rsidRDefault="002C2D66"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8">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2D66" w:rsidRPr="00A573A0" w:rsidRDefault="002C2D66" w:rsidP="00C95F6C">
                      <w:pPr>
                        <w:pStyle w:val="FigureCaption"/>
                        <w:rPr>
                          <w:rFonts w:ascii="Cambria Math" w:hAnsi="Cambria Math"/>
                          <w:noProof/>
                          <w:sz w:val="18"/>
                        </w:rPr>
                      </w:pPr>
                      <w:bookmarkStart w:id="12" w:name="_Ref415264541"/>
                      <w:r>
                        <w:t xml:space="preserve">Fig. </w:t>
                      </w:r>
                      <w:fldSimple w:instr=" SEQ Fig. \* ARABIC ">
                        <w:r>
                          <w:rPr>
                            <w:noProof/>
                          </w:rPr>
                          <w:t>5</w:t>
                        </w:r>
                      </w:fldSimple>
                      <w:bookmarkEnd w:id="12"/>
                      <w:r>
                        <w:t>. An example of the use of censored regression to estimate a model when some of the data has been capped at a ceiling.</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than </w:t>
      </w:r>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DE242E">
        <w:t xml:space="preserve">Fig. </w:t>
      </w:r>
      <w:r w:rsidR="00DE242E">
        <w:rPr>
          <w:noProof/>
        </w:rPr>
        <w:t>4</w:t>
      </w:r>
      <w:r w:rsidR="00D87CFD">
        <w:rPr>
          <w:highlight w:val="yellow"/>
        </w:rPr>
        <w:fldChar w:fldCharType="end"/>
      </w:r>
      <w:r w:rsidR="00B444F8">
        <w:t>)</w:t>
      </w:r>
      <w:r w:rsidR="002C6DE2">
        <w:t>.</w:t>
      </w:r>
    </w:p>
    <w:p w14:paraId="02C034D0" w14:textId="3F11C4DF"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1E49FC2A">
                <wp:simplePos x="0" y="0"/>
                <wp:positionH relativeFrom="margin">
                  <wp:posOffset>3329940</wp:posOffset>
                </wp:positionH>
                <wp:positionV relativeFrom="page">
                  <wp:posOffset>3025140</wp:posOffset>
                </wp:positionV>
                <wp:extent cx="3181985" cy="2520950"/>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1985" cy="2520950"/>
                        </a:xfrm>
                        <a:prstGeom prst="rect">
                          <a:avLst/>
                        </a:prstGeom>
                        <a:solidFill>
                          <a:prstClr val="white"/>
                        </a:solidFill>
                        <a:ln>
                          <a:noFill/>
                        </a:ln>
                        <a:effectLst/>
                      </wps:spPr>
                      <wps:txbx>
                        <w:txbxContent>
                          <w:p w14:paraId="44A94D76" w14:textId="7C4D15DB" w:rsidR="002C2D66" w:rsidRDefault="002C2D66"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9">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2D66" w:rsidRPr="00EE0A4D" w:rsidRDefault="002C2D66" w:rsidP="00EE0A4D">
                            <w:pPr>
                              <w:pStyle w:val="FigureCaption"/>
                            </w:pPr>
                            <w:bookmarkStart w:id="9" w:name="_Ref415530912"/>
                            <w:r>
                              <w:t xml:space="preserve">Fig. </w:t>
                            </w:r>
                            <w:fldSimple w:instr=" SEQ Fig. \* ARABIC ">
                              <w:r>
                                <w:rPr>
                                  <w:noProof/>
                                </w:rPr>
                                <w:t>6</w:t>
                              </w:r>
                            </w:fldSimple>
                            <w:bookmarkEnd w:id="9"/>
                            <w:r>
                              <w:t>. Data in two visualization </w:t>
                            </w:r>
                            <w:r w:rsidRPr="00DA164E">
                              <w:t>×</w:t>
                            </w:r>
                            <w:r>
                              <w:t xml:space="preserve"> direction pairs for approach </w:t>
                            </w:r>
                            <w:r w:rsidRPr="00512C9E">
                              <w:rPr>
                                <w:i/>
                              </w:rPr>
                              <w:t xml:space="preserve">from </w:t>
                            </w:r>
                            <w:r>
                              <w:rPr>
                                <w:i/>
                              </w:rPr>
                              <w:t>below</w:t>
                            </w:r>
                            <w:r>
                              <w:t xml:space="preserve">. The ceilings used to derive censoring thresholds for this approach are </w:t>
                            </w:r>
                            <w:r w:rsidR="006F7D37">
                              <w:t>shown</w:t>
                            </w:r>
                            <w:r>
                              <w:t>.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98.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umjOgIAAHgEAAAOAAAAZHJzL2Uyb0RvYy54bWysVE1v2zAMvQ/YfxB0X52kaNEacYqsRYcB&#10;QVsgGXpWZDk2IIuapMTOfv2e5Djdup2GXWSKpPjxHun5Xd9qdlDON2QKPr2YcKaMpLIxu4J/2zx+&#10;uuHMB2FKocmogh+V53eLjx/mnc3VjGrSpXIMQYzPO1vwOgSbZ5mXtWqFvyCrDIwVuVYEXN0uK53o&#10;EL3V2Wwyuc46cqV1JJX30D4MRr5I8atKyfBcVV4FpguO2kI6XTq38cwWc5HvnLB1I09liH+oohWN&#10;QdJzqAcRBNu75o9QbSMdearChaQ2o6pqpEo9oJvp5F0361pYlXoBON6eYfL/L6x8Orw41pQFvwQ8&#10;RrTgaKP6wD5Tz6ACPp31OdzWFo6hhx48j3oPZWy7r1wbv2iIwY5QxzO6MZqE8nJ6M729ueJMwja7&#10;mk1ur1L87O25dT58UdSyKBTcgb6EqjisfEApcB1dYjZPuikfG63jJRrutWMHAaq7ugkqFokXv3lp&#10;E30NxVeDedCoNCunLLHjobMohX7bJ4Sux663VB4BhqNhnLyVjw2yr4QPL8JhftA/diI846g0dQWn&#10;k8RZTe7H3/TRH7TCylmHeSy4/74XTnGmvxoQHod3FNwobEfB7Nt7Qt9TbJuVScQDF/QoVo7aV6zK&#10;MmaBSRiJXAUPo3gfhq3Aqkm1XCYnjKgVYWXWVsbQI8qb/lU4e+IogN4nGidV5O+oGnwTWXa5D8A9&#10;8RhxHVAERfGC8U5knVYx7s+v9+T19sNY/AQAAP//AwBQSwMEFAAGAAgAAAAhAMLCVrLjAAAADAEA&#10;AA8AAABkcnMvZG93bnJldi54bWxMj7FOwzAQhnck3sE6JBZEHVInrdI4VVXBAEtF6NLNja9xILYj&#10;22nD2+NOZbvTffrv+8v1pHtyRuc7azi8zBIgaBorO9Ny2H+9PS+B+CCMFL01yOEXPayr+7tSFNJe&#10;zCee69CSGGJ8ITioEIaCUt8o1MLP7IAm3k7WaRHi6loqnbjEcN3TNElyqkVn4gclBtwqbH7qUXPY&#10;scNOPY2n148Nm7v3/bjNv9ua88eHabMCEnAKNxiu+lEdquh0tKORnvQcspSxiHJgizwOVyJJswzI&#10;kcNyMWdAq5L+L1H9AQAA//8DAFBLAQItABQABgAIAAAAIQC2gziS/gAAAOEBAAATAAAAAAAAAAAA&#10;AAAAAAAAAABbQ29udGVudF9UeXBlc10ueG1sUEsBAi0AFAAGAAgAAAAhADj9If/WAAAAlAEAAAsA&#10;AAAAAAAAAAAAAAAALwEAAF9yZWxzLy5yZWxzUEsBAi0AFAAGAAgAAAAhAOGi6aM6AgAAeAQAAA4A&#10;AAAAAAAAAAAAAAAALgIAAGRycy9lMm9Eb2MueG1sUEsBAi0AFAAGAAgAAAAhAMLCVrLjAAAADAEA&#10;AA8AAAAAAAAAAAAAAAAAlAQAAGRycy9kb3ducmV2LnhtbFBLBQYAAAAABAAEAPMAAACkBQAAAAA=&#10;" stroked="f">
                <v:textbox style="mso-fit-shape-to-text:t" inset="0,0,0,0">
                  <w:txbxContent>
                    <w:p w14:paraId="44A94D76" w14:textId="7C4D15DB" w:rsidR="002C2D66" w:rsidRDefault="002C2D66"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20">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2D66" w:rsidRPr="00EE0A4D" w:rsidRDefault="002C2D66" w:rsidP="00EE0A4D">
                      <w:pPr>
                        <w:pStyle w:val="FigureCaption"/>
                      </w:pPr>
                      <w:bookmarkStart w:id="14" w:name="_Ref415530912"/>
                      <w:r>
                        <w:t xml:space="preserve">Fig. </w:t>
                      </w:r>
                      <w:fldSimple w:instr=" SEQ Fig. \* ARABIC ">
                        <w:r>
                          <w:rPr>
                            <w:noProof/>
                          </w:rPr>
                          <w:t>6</w:t>
                        </w:r>
                      </w:fldSimple>
                      <w:bookmarkEnd w:id="14"/>
                      <w:r>
                        <w:t>. Data in two visualization </w:t>
                      </w:r>
                      <w:r w:rsidRPr="00DA164E">
                        <w:t>×</w:t>
                      </w:r>
                      <w:r>
                        <w:t xml:space="preserve"> direction pairs for approach </w:t>
                      </w:r>
                      <w:r w:rsidRPr="00512C9E">
                        <w:rPr>
                          <w:i/>
                        </w:rPr>
                        <w:t xml:space="preserve">from </w:t>
                      </w:r>
                      <w:r>
                        <w:rPr>
                          <w:i/>
                        </w:rPr>
                        <w:t>below</w:t>
                      </w:r>
                      <w:r>
                        <w:t xml:space="preserve">. The ceilings used to derive censoring thresholds for this approach are </w:t>
                      </w:r>
                      <w:r w:rsidR="006F7D37">
                        <w:t>shown</w:t>
                      </w:r>
                      <w:r>
                        <w:t>.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on JND (perhaps due to some perceptual difference in positive or negative correlations) —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DE242E">
        <w:t xml:space="preserve">Fig. </w:t>
      </w:r>
      <w:r w:rsidR="00DE242E">
        <w:rPr>
          <w:noProof/>
        </w:rPr>
        <w:t>6</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68C0E27E"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rsidR="00DE242E">
        <w:t xml:space="preserve">Fig. </w:t>
      </w:r>
      <w:r w:rsidR="00DE242E">
        <w:rPr>
          <w:noProof/>
        </w:rPr>
        <w:t>4</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DE242E">
        <w:t xml:space="preserve">Fig. </w:t>
      </w:r>
      <w:r w:rsidR="00DE242E">
        <w:rPr>
          <w:noProof/>
        </w:rPr>
        <w:t>6</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274317"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of </w:t>
      </w:r>
      <m:oMath>
        <m:r>
          <w:rPr>
            <w:rFonts w:ascii="Cambria Math" w:hAnsi="Cambria Math"/>
          </w:rPr>
          <m:t>y</m:t>
        </m:r>
      </m:oMath>
      <w:r w:rsidR="00047789">
        <w:t>:</w:t>
      </w:r>
    </w:p>
    <w:p w14:paraId="4FEE03DF" w14:textId="2DF6F238" w:rsidR="00047789" w:rsidRDefault="00C01902" w:rsidP="00C95F6C">
      <w:pPr>
        <w:pStyle w:val="Body"/>
      </w:pPr>
      <w:r>
        <w:rPr>
          <w:noProof/>
        </w:rPr>
        <mc:AlternateContent>
          <mc:Choice Requires="wps">
            <w:drawing>
              <wp:anchor distT="0" distB="0" distL="114300" distR="114300" simplePos="0" relativeHeight="251690496" behindDoc="0" locked="0" layoutInCell="1" allowOverlap="1" wp14:anchorId="28319654" wp14:editId="31E2920F">
                <wp:simplePos x="0" y="0"/>
                <wp:positionH relativeFrom="margin">
                  <wp:align>right</wp:align>
                </wp:positionH>
                <wp:positionV relativeFrom="page">
                  <wp:posOffset>5570220</wp:posOffset>
                </wp:positionV>
                <wp:extent cx="3182112" cy="1984248"/>
                <wp:effectExtent l="0" t="0" r="0" b="0"/>
                <wp:wrapTopAndBottom/>
                <wp:docPr id="44" name="Text Box 44"/>
                <wp:cNvGraphicFramePr/>
                <a:graphic xmlns:a="http://schemas.openxmlformats.org/drawingml/2006/main">
                  <a:graphicData uri="http://schemas.microsoft.com/office/word/2010/wordprocessingShape">
                    <wps:wsp>
                      <wps:cNvSpPr txBox="1"/>
                      <wps:spPr>
                        <a:xfrm>
                          <a:off x="0" y="0"/>
                          <a:ext cx="3182112" cy="1984248"/>
                        </a:xfrm>
                        <a:prstGeom prst="rect">
                          <a:avLst/>
                        </a:prstGeom>
                        <a:solidFill>
                          <a:prstClr val="white"/>
                        </a:solidFill>
                        <a:ln>
                          <a:noFill/>
                        </a:ln>
                        <a:effectLst/>
                      </wps:spPr>
                      <wps:txbx>
                        <w:txbxContent>
                          <w:p w14:paraId="76DA706F" w14:textId="00372166" w:rsidR="002C2D66" w:rsidRDefault="002C2D66"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21">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2C2D66" w:rsidRPr="00C01902" w:rsidRDefault="002C2D66" w:rsidP="00C01902">
                            <w:pPr>
                              <w:pStyle w:val="FigureCaption"/>
                            </w:pPr>
                            <w:bookmarkStart w:id="10" w:name="_Ref415533129"/>
                            <w:r>
                              <w:t xml:space="preserve">Fig. </w:t>
                            </w:r>
                            <w:fldSimple w:instr=" SEQ Fig. \* ARABIC ">
                              <w:r>
                                <w:rPr>
                                  <w:noProof/>
                                </w:rPr>
                                <w:t>7</w:t>
                              </w:r>
                            </w:fldSimple>
                            <w:bookmarkEnd w:id="10"/>
                            <w:r>
                              <w:t>. Comparison of a model fit to all data for line-positive with or without censoring.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199.35pt;margin-top:438.6pt;width:250.55pt;height:156.25pt;z-index:251690496;visibility:visible;mso-wrap-style:square;mso-width-percent:0;mso-height-percent:0;mso-wrap-distance-left:9pt;mso-wrap-distance-top:0;mso-wrap-distance-right:9pt;mso-wrap-distance-bottom:0;mso-position-horizontal:righ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WbtOAIAAHgEAAAOAAAAZHJzL2Uyb0RvYy54bWysVMGO2jAQvVfqP1i+lxCKWhoRVpQVVSW0&#10;uxJUezaOQyzZHtc2JPTrO3YStt32VPVixjPjN5n3ZljedVqRi3BegilpPplSIgyHSppTSb8dtu8W&#10;lPjATMUUGFHSq/D0bvX2zbK1hZhBA6oSjiCI8UVrS9qEYIss87wRmvkJWGEwWIPTLODVnbLKsRbR&#10;tcpm0+mHrAVXWQdceI/e+z5IVwm/rgUPj3XtRSCqpPhtIZ0uncd4ZqslK06O2Uby4TPYP3yFZtJg&#10;0RvUPQuMnJ38A0pL7sBDHSYcdAZ1LblIPWA3+fRVN/uGWZF6QXK8vdHk/x8sf7g8OSKrks7nlBim&#10;UaOD6AL5DB1BF/LTWl9g2t5iYujQjzqPfo/O2HZXOx1/sSGCcWT6emM3onF0vs8XszyfUcIxln9a&#10;zGfzRcTJXp5b58MXAZpEo6QO5UusssvOhz51TInVPChZbaVS8RIDG+XIhaHUbSODGMB/y1Im5hqI&#10;r3rA3iPSrAxVYsd9Z9EK3bFLDH0cuz5CdUUyHPTj5C3fSqy+Yz48MYfzg/3jToRHPGoFbUlhsChp&#10;wP34mz/mo6wYpaTFeSyp/35mTlCivhoUPA7vaLjROI6GOesNYN85bpvlycQHLqjRrB3oZ1yVdayC&#10;IWY41ippGM1N6LcCV42L9Tol4YhaFnZmb3mEHlk+dM/M2UGjgPI+wDiprHglVZ+bxLLrc0Dek46R&#10;155F1D9ecLzTJAyrGPfn13vKevnDWP0EAAD//wMAUEsDBBQABgAIAAAAIQASFT6r4QAAAAkBAAAP&#10;AAAAZHJzL2Rvd25yZXYueG1sTI8xT8MwFIR3JP6D9ZBYEHVSSpOGOFVVwQBLRejSzY3dOBA/R7bT&#10;hn/PY4LxdKe778r1ZHt21j50DgWkswSYxsapDlsB+4+X+xxYiBKV7B1qAd86wLq6viplodwF3/W5&#10;ji2jEgyFFGBiHArOQ2O0lWHmBo3knZy3MpL0LVdeXqjc9nyeJEtuZYe0YOSgt0Y3X/VoBewWh525&#10;G0/Pb5vFg3/dj9vlZ1sLcXszbZ6ART3FvzD84hM6VMR0dCOqwHoBdCQKyLNsDozsxyRNgR0pl+ar&#10;DHhV8v8Pqh8AAAD//wMAUEsBAi0AFAAGAAgAAAAhALaDOJL+AAAA4QEAABMAAAAAAAAAAAAAAAAA&#10;AAAAAFtDb250ZW50X1R5cGVzXS54bWxQSwECLQAUAAYACAAAACEAOP0h/9YAAACUAQAACwAAAAAA&#10;AAAAAAAAAAAvAQAAX3JlbHMvLnJlbHNQSwECLQAUAAYACAAAACEAgalm7TgCAAB4BAAADgAAAAAA&#10;AAAAAAAAAAAuAgAAZHJzL2Uyb0RvYy54bWxQSwECLQAUAAYACAAAACEAEhU+q+EAAAAJAQAADwAA&#10;AAAAAAAAAAAAAACSBAAAZHJzL2Rvd25yZXYueG1sUEsFBgAAAAAEAAQA8wAAAKAFAAAAAA==&#10;" stroked="f">
                <v:textbox style="mso-fit-shape-to-text:t" inset="0,0,0,0">
                  <w:txbxContent>
                    <w:p w14:paraId="76DA706F" w14:textId="00372166" w:rsidR="002C2D66" w:rsidRDefault="002C2D66" w:rsidP="00865CFA">
                      <w:pPr>
                        <w:jc w:val="center"/>
                      </w:pPr>
                      <w:r>
                        <w:rPr>
                          <w:noProof/>
                        </w:rPr>
                        <w:drawing>
                          <wp:inline distT="0" distB="0" distL="0" distR="0" wp14:anchorId="5E08F8B4" wp14:editId="4B12FCAE">
                            <wp:extent cx="2407920" cy="1606664"/>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censor-bias-edited-1.eps"/>
                                    <pic:cNvPicPr/>
                                  </pic:nvPicPr>
                                  <pic:blipFill>
                                    <a:blip r:embed="rId22">
                                      <a:extLst>
                                        <a:ext uri="{28A0092B-C50C-407E-A947-70E740481C1C}">
                                          <a14:useLocalDpi xmlns:a14="http://schemas.microsoft.com/office/drawing/2010/main" val="0"/>
                                        </a:ext>
                                      </a:extLst>
                                    </a:blip>
                                    <a:stretch>
                                      <a:fillRect/>
                                    </a:stretch>
                                  </pic:blipFill>
                                  <pic:spPr>
                                    <a:xfrm>
                                      <a:off x="0" y="0"/>
                                      <a:ext cx="2409807" cy="1607923"/>
                                    </a:xfrm>
                                    <a:prstGeom prst="rect">
                                      <a:avLst/>
                                    </a:prstGeom>
                                  </pic:spPr>
                                </pic:pic>
                              </a:graphicData>
                            </a:graphic>
                          </wp:inline>
                        </w:drawing>
                      </w:r>
                    </w:p>
                    <w:p w14:paraId="7AD30907" w14:textId="082AAE7C" w:rsidR="002C2D66" w:rsidRPr="00C01902" w:rsidRDefault="002C2D66" w:rsidP="00C01902">
                      <w:pPr>
                        <w:pStyle w:val="FigureCaption"/>
                      </w:pPr>
                      <w:bookmarkStart w:id="16" w:name="_Ref415533129"/>
                      <w:r>
                        <w:t xml:space="preserve">Fig. </w:t>
                      </w:r>
                      <w:fldSimple w:instr=" SEQ Fig. \* ARABIC ">
                        <w:r>
                          <w:rPr>
                            <w:noProof/>
                          </w:rPr>
                          <w:t>7</w:t>
                        </w:r>
                      </w:fldSimple>
                      <w:bookmarkEnd w:id="16"/>
                      <w:r>
                        <w:t>. Comparison of a model fit to all data for line-positive with or without censoring.</w:t>
                      </w:r>
                    </w:p>
                  </w:txbxContent>
                </v:textbox>
                <w10:wrap type="topAndBottom" anchorx="margin" anchory="page"/>
              </v:shape>
            </w:pict>
          </mc:Fallback>
        </mc:AlternateContent>
      </w:r>
    </w:p>
    <w:p w14:paraId="79175AA6" w14:textId="5E1F986A" w:rsidR="00047789" w:rsidRPr="00AF146E"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3862F850"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77777777" w:rsidR="00047789" w:rsidRDefault="00701E02" w:rsidP="00C95F6C">
      <w:pPr>
        <w:pStyle w:val="Heading2"/>
      </w:pPr>
      <w:r>
        <w:lastRenderedPageBreak/>
        <w:t>Bias in uncensored model</w:t>
      </w:r>
    </w:p>
    <w:p w14:paraId="3504B355" w14:textId="04E4EE62"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DE242E">
        <w:t xml:space="preserve">Fig. </w:t>
      </w:r>
      <w:r w:rsidR="00DE242E">
        <w:rPr>
          <w:noProof/>
        </w:rPr>
        <w:t>7</w:t>
      </w:r>
      <w:r w:rsidR="00C01902">
        <w:rPr>
          <w:highlight w:val="yellow"/>
        </w:rPr>
        <w:fldChar w:fldCharType="end"/>
      </w:r>
      <w:r>
        <w:t xml:space="preserve">, which compares the censored </w:t>
      </w:r>
      <w:r w:rsidR="00CF3B6A">
        <w:t>model</w:t>
      </w:r>
      <w:r>
        <w:t xml:space="preserve"> for </w:t>
      </w:r>
      <w:r w:rsidR="00C01902">
        <w:t>line-positive</w:t>
      </w:r>
      <w:r w:rsidR="00CF3B6A">
        <w:t xml:space="preserve"> to an uncensored model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a low-performing visualization seem better than it is,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4F79C7">
        <w:t>.</w:t>
      </w:r>
    </w:p>
    <w:p w14:paraId="10609C13" w14:textId="77777777" w:rsidR="007D0B04" w:rsidRPr="00AF146E" w:rsidRDefault="007D0B04" w:rsidP="003E556D">
      <w:pPr>
        <w:pStyle w:val="Heading1"/>
      </w:pPr>
      <w:r w:rsidRPr="00AF146E">
        <w:t>Model 4: Bayesian Censored Log-Linear Model</w:t>
      </w:r>
    </w:p>
    <w:p w14:paraId="01A5E787" w14:textId="1AAB0074"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916FA9">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"[10]", "plainTextFormattedCitation" : "[10]", "previouslyFormattedCitation" : "[10]" }, "properties" : { "noteIndex" : 0 }, "schema" : "https://github.com/citation-style-language/schema/raw/master/csl-citation.json" }</w:instrText>
      </w:r>
      <w:r w:rsidR="004458B9">
        <w:fldChar w:fldCharType="separate"/>
      </w:r>
      <w:r w:rsidR="00916FA9" w:rsidRPr="00916FA9">
        <w:rPr>
          <w:noProof/>
        </w:rPr>
        <w:t>[10]</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65A41ED0" w:rsidR="00E52A54" w:rsidRDefault="00E52A54" w:rsidP="00C95F6C">
      <w:pPr>
        <w:pStyle w:val="Body"/>
      </w:pPr>
      <w:r>
        <w:t>This approach yields a richer estimatio</w:t>
      </w:r>
      <w:r w:rsidR="0019125A">
        <w:t xml:space="preserve">n of the parameters of interest — </w:t>
      </w:r>
      <w:r>
        <w:t>complete posterior probability distribution</w:t>
      </w:r>
      <w:r w:rsidR="0019125A">
        <w:t>s</w:t>
      </w:r>
      <w:r>
        <w:t xml:space="preserve"> of all parameters</w:t>
      </w:r>
      <w:r w:rsidR="0019125A">
        <w:t xml:space="preserve"> —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Kruschke’s </w:t>
      </w:r>
      <w:r>
        <w:fldChar w:fldCharType="begin" w:fldLock="1"/>
      </w:r>
      <w:r w:rsidR="00916FA9">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"[11]", "plainTextFormattedCitation" : "[11]", "previouslyFormattedCitation" : "[11]" }, "properties" : { "noteIndex" : 0 }, "schema" : "https://github.com/citation-style-language/schema/raw/master/csl-citation.json" }</w:instrText>
      </w:r>
      <w:r>
        <w:fldChar w:fldCharType="separate"/>
      </w:r>
      <w:r w:rsidR="00916FA9" w:rsidRPr="00916FA9">
        <w:rPr>
          <w:noProof/>
        </w:rPr>
        <w:t>[11]</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48D049A6"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916FA9">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"[12], [13]", "plainTextFormattedCitation" : "[12], [13]", "previouslyFormattedCitation" : "[12], [13]" }, "properties" : { "noteIndex" : 0 }, "schema" : "https://github.com/citation-style-language/schema/raw/master/csl-citation.json" }</w:instrText>
      </w:r>
      <w:r w:rsidR="004458B9" w:rsidRPr="004458B9">
        <w:fldChar w:fldCharType="separate"/>
      </w:r>
      <w:r w:rsidR="00916FA9" w:rsidRPr="00916FA9">
        <w:rPr>
          <w:noProof/>
        </w:rPr>
        <w:t>[12], [13]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r w:rsidR="00BC517A" w:rsidRPr="00BC517A">
        <w:rPr>
          <w:i/>
        </w:rPr>
        <w:t>pseudoreplication</w:t>
      </w:r>
      <w:r w:rsidR="00BC517A">
        <w:rPr>
          <w:i/>
        </w:rPr>
        <w:t xml:space="preserve"> </w:t>
      </w:r>
      <w:r w:rsidR="00BC517A">
        <w:fldChar w:fldCharType="begin" w:fldLock="1"/>
      </w:r>
      <w:r w:rsidR="00916FA9">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"[14]", "plainTextFormattedCitation" : "[14]", "previouslyFormattedCitation" : "[14]" }, "properties" : { "noteIndex" : 0 }, "schema" : "https://github.com/citation-style-language/schema/raw/master/csl-citation.json" }</w:instrText>
      </w:r>
      <w:r w:rsidR="00BC517A">
        <w:fldChar w:fldCharType="separate"/>
      </w:r>
      <w:r w:rsidR="00916FA9" w:rsidRPr="00916FA9">
        <w:rPr>
          <w:noProof/>
        </w:rPr>
        <w:t>[14]</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through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274317"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is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w:t>
      </w:r>
      <w:r w:rsidR="00BC517A">
        <w:lastRenderedPageBreak/>
        <w:t xml:space="preserve">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location of each parameter prior to running the experiment. In this paper we use weakly-informed priors derived from the results of Rensink &amp; Baldridge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(log(0.45))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D16930A" w:rsidR="00B2648F" w:rsidRDefault="00B2648F" w:rsidP="00C95F6C">
      <w:pPr>
        <w:pStyle w:val="Body"/>
      </w:pPr>
      <w:r>
        <w:t xml:space="preserve">However, this is only the mode: we can use </w:t>
      </w:r>
      <w:r w:rsidR="00436C54">
        <w:t>Rensink</w:t>
      </w:r>
      <w:r>
        <w:t xml:space="preserve"> &amp; Baldridge</w:t>
      </w:r>
      <w:r w:rsidR="00436C54">
        <w:t xml:space="preserve">’s data </w:t>
      </w:r>
      <w:r>
        <w:t>to specify the prior variance of these parameters as encompassing a set of reasonable models by ensuring that believable models are within 1 or 2 standard deviations of the mean of the prior. While Rensink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Rensink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5CFEB423" w:rsidR="00436C54" w:rsidRPr="00DA412A" w:rsidRDefault="00DA412A" w:rsidP="006E1133">
      <w:pPr>
        <w:pStyle w:val="BodyNoIndent"/>
      </w:pPr>
      <w:r>
        <w:t xml:space="preserve">Finally, we use </w:t>
      </w:r>
      <w:r w:rsidR="0069770F">
        <w:t>relatively uninformed priors for variance parameters:</w:t>
      </w:r>
    </w:p>
    <w:p w14:paraId="2E089952" w14:textId="77777777" w:rsidR="0069770F" w:rsidRDefault="0069770F" w:rsidP="00C95F6C"/>
    <w:p w14:paraId="1AEEADFE" w14:textId="45823396" w:rsidR="0069770F" w:rsidRPr="00436C54"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069179E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916FA9">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"[15]", "plainTextFormattedCitation" : "[15]", "previouslyFormattedCitation" : "[15]" }, "properties" : { "noteIndex" : 0 }, "schema" : "https://github.com/citation-style-language/schema/raw/master/csl-citation.json" }</w:instrText>
      </w:r>
      <w:r w:rsidR="009F09AD">
        <w:fldChar w:fldCharType="separate"/>
      </w:r>
      <w:r w:rsidR="00916FA9" w:rsidRPr="00916FA9">
        <w:rPr>
          <w:noProof/>
        </w:rPr>
        <w:t>[15]</w:t>
      </w:r>
      <w:r w:rsidR="009F09AD">
        <w:fldChar w:fldCharType="end"/>
      </w:r>
      <w:r w:rsidR="009F09AD">
        <w:t>.</w:t>
      </w:r>
      <w:r w:rsidR="00436C54">
        <w:rPr>
          <w:rStyle w:val="FootnoteReference"/>
        </w:rPr>
        <w:footnoteReference w:id="7"/>
      </w:r>
      <w:r w:rsidR="007E080A">
        <w:t xml:space="preserve"> </w:t>
      </w:r>
    </w:p>
    <w:p w14:paraId="0B5F2A24" w14:textId="77777777" w:rsidR="00F843E8" w:rsidRDefault="00F843E8" w:rsidP="00C95F6C">
      <w:pPr>
        <w:pStyle w:val="Heading2"/>
      </w:pPr>
      <w:bookmarkStart w:id="11" w:name="_Ref415497565"/>
      <w:r>
        <w:t>Performance on a hypothetical set of datasets</w:t>
      </w:r>
      <w:bookmarkEnd w:id="11"/>
    </w:p>
    <w:p w14:paraId="5CE06FC2" w14:textId="68F2C2E6" w:rsidR="00F843E8" w:rsidRDefault="00F843E8" w:rsidP="006E1133">
      <w:pPr>
        <w:pStyle w:val="BodyNoIndent"/>
      </w:pPr>
      <w:r>
        <w:t xml:space="preserve">We can use our model to derive the expected precision of estimation of a typical individual on an unknown dataset. Rensink &amp; Baldridge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w:t>
      </w:r>
      <w:r>
        <w:lastRenderedPageBreak/>
        <w:t xml:space="preserve">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274317"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8"/>
      </w:r>
      <w:r>
        <w:t xml:space="preserve"> to obtain a posterior distribution of </w:t>
      </w:r>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274317"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62A36D05" w:rsidR="00F843E8" w:rsidRP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bookmarkStart w:id="12" w:name="_Ref415494209"/>
    <w:p w14:paraId="2CE7587C" w14:textId="703711BC" w:rsidR="00A34301" w:rsidRPr="00AF146E" w:rsidRDefault="00C01902" w:rsidP="003E556D">
      <w:pPr>
        <w:pStyle w:val="Heading1"/>
      </w:pPr>
      <w:r>
        <w:rPr>
          <w:noProof/>
        </w:rPr>
        <mc:AlternateContent>
          <mc:Choice Requires="wps">
            <w:drawing>
              <wp:anchor distT="0" distB="0" distL="114300" distR="114300" simplePos="0" relativeHeight="251674112" behindDoc="0" locked="0" layoutInCell="1" allowOverlap="0" wp14:anchorId="72D2134A" wp14:editId="2BDEFD72">
                <wp:simplePos x="0" y="0"/>
                <wp:positionH relativeFrom="margin">
                  <wp:posOffset>0</wp:posOffset>
                </wp:positionH>
                <wp:positionV relativeFrom="margin">
                  <wp:posOffset>1270</wp:posOffset>
                </wp:positionV>
                <wp:extent cx="6506210" cy="3263900"/>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6506210" cy="3263900"/>
                        </a:xfrm>
                        <a:prstGeom prst="rect">
                          <a:avLst/>
                        </a:prstGeom>
                        <a:solidFill>
                          <a:prstClr val="white"/>
                        </a:solidFill>
                        <a:ln>
                          <a:noFill/>
                        </a:ln>
                        <a:effectLst/>
                      </wps:spPr>
                      <wps:txbx>
                        <w:txbxContent>
                          <w:p w14:paraId="0207CA29" w14:textId="5E6AA3DA" w:rsidR="002C2D66" w:rsidRDefault="002C2D66"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23">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2C2D66" w:rsidRPr="0041507B" w:rsidRDefault="002C2D66" w:rsidP="00C95F6C">
                            <w:pPr>
                              <w:pStyle w:val="FigureCaption"/>
                              <w:rPr>
                                <w:rFonts w:ascii="Times" w:hAnsi="Times"/>
                                <w:noProof/>
                              </w:rPr>
                            </w:pPr>
                            <w:bookmarkStart w:id="13" w:name="_Ref415447337"/>
                            <w:r>
                              <w:t xml:space="preserve">Fig. </w:t>
                            </w:r>
                            <w:fldSimple w:instr=" SEQ Fig. \* ARABIC ">
                              <w:r>
                                <w:rPr>
                                  <w:noProof/>
                                </w:rPr>
                                <w:t>8</w:t>
                              </w:r>
                            </w:fldSimple>
                            <w:bookmarkEnd w:id="13"/>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0;margin-top:.1pt;width:512.3pt;height:257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tcyOQIAAHgEAAAOAAAAZHJzL2Uyb0RvYy54bWysVE1v2zAMvQ/YfxB0X52kWNAGdYosRYcB&#10;QVugHXpWZDkWIIuapMTOfv2e5Ljtup2GXWSKpPjxHumr67417KB80GRLPj2bcKaspErbXcm/P91+&#10;uuAsRGErYciqkh9V4NfLjx+uOrdQM2rIVMozBLFh0bmSNzG6RVEE2ahWhDNyysJYk29FxNXvisqL&#10;DtFbU8wmk3nRka+cJ6lCgPZmMPJljl/XSsb7ug4qMlNy1Bbz6fO5TWexvBKLnReu0fJUhviHKlqh&#10;LZK+hLoRUbC913+EarX0FKiOZ5LagupaS5V7QDfTybtuHhvhVO4F4AT3AlP4f2Hl3eHBM12Bu0vO&#10;rGjB0ZPqI/tCPYMK+HQuLOD26OAYe+jhO+oDlKntvvZt+qIhBjuQPr6gm6JJKOefJ/PZFCYJ2/ls&#10;fn45yfgXr8+dD/GropYloeQe9GVUxWETIkqB6+iSsgUyurrVxqRLMqyNZwcBqrtGR5WKxIvfvIxN&#10;vpbSq8E8aFSelVOW1PHQWZJiv+0zQhdj11uqjgDD0zBOwclbjewbEeKD8JgfNImdiPc4akNdyekk&#10;cdaQ//k3ffIHrbBy1mEeSx5+7IVXnJlvFoSn4R0FPwrbUbD7dk3oe4ptczKLeOCjGcXaU/uMVVml&#10;LDAJK5Gr5HEU13HYCqyaVKtVdsKIOhE39tHJFHpE+al/Ft6dOIqg947GSRWLd1QNvpkst9pH4J55&#10;TLgOKIKidMF4Z7JOq5j25+09e73+MJa/AAAA//8DAFBLAwQUAAYACAAAACEAk52k+dwAAAAGAQAA&#10;DwAAAGRycy9kb3ducmV2LnhtbEyPwWrDMBBE74X+g9hAb40cNw7F9TqUQKC0FFInH6BYW1vEWhlL&#10;jt2/r3Jqj8MMM2+K7Ww7caXBG8cIq2UCgrh22nCDcDruH59B+KBYq84xIfyQh215f1eoXLuJv+ha&#10;hUbEEva5QmhD6HMpfd2SVX7peuLofbvBqhDl0Eg9qCmW206mSbKRVhmOC63qaddSfalGi1AbHvcH&#10;c6xOb4f3z+wpqz78tEN8WMyvLyACzeEvDDf8iA5lZDq7kbUXHUI8EhBSEDcvSdcbEGeEbLVOQZaF&#10;/I9f/gIAAP//AwBQSwECLQAUAAYACAAAACEAtoM4kv4AAADhAQAAEwAAAAAAAAAAAAAAAAAAAAAA&#10;W0NvbnRlbnRfVHlwZXNdLnhtbFBLAQItABQABgAIAAAAIQA4/SH/1gAAAJQBAAALAAAAAAAAAAAA&#10;AAAAAC8BAABfcmVscy8ucmVsc1BLAQItABQABgAIAAAAIQAvCtcyOQIAAHgEAAAOAAAAAAAAAAAA&#10;AAAAAC4CAABkcnMvZTJvRG9jLnhtbFBLAQItABQABgAIAAAAIQCTnaT53AAAAAYBAAAPAAAAAAAA&#10;AAAAAAAAAJMEAABkcnMvZG93bnJldi54bWxQSwUGAAAAAAQABADzAAAAnAUAAAAA&#10;" o:allowoverlap="f" stroked="f">
                <v:textbox style="mso-fit-shape-to-text:t" inset="0,0,0,0">
                  <w:txbxContent>
                    <w:p w14:paraId="0207CA29" w14:textId="5E6AA3DA" w:rsidR="002C2D66" w:rsidRDefault="002C2D66" w:rsidP="00C95F6C">
                      <w:r>
                        <w:rPr>
                          <w:noProof/>
                        </w:rPr>
                        <w:drawing>
                          <wp:inline distT="0" distB="0" distL="0" distR="0" wp14:anchorId="3C1CBB96" wp14:editId="02C513E7">
                            <wp:extent cx="6506210" cy="22796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nal-model-log-space-edited-2.eps"/>
                                    <pic:cNvPicPr/>
                                  </pic:nvPicPr>
                                  <pic:blipFill>
                                    <a:blip r:embed="rId24">
                                      <a:extLst>
                                        <a:ext uri="{28A0092B-C50C-407E-A947-70E740481C1C}">
                                          <a14:useLocalDpi xmlns:a14="http://schemas.microsoft.com/office/drawing/2010/main" val="0"/>
                                        </a:ext>
                                      </a:extLst>
                                    </a:blip>
                                    <a:stretch>
                                      <a:fillRect/>
                                    </a:stretch>
                                  </pic:blipFill>
                                  <pic:spPr>
                                    <a:xfrm>
                                      <a:off x="0" y="0"/>
                                      <a:ext cx="6506210" cy="2279650"/>
                                    </a:xfrm>
                                    <a:prstGeom prst="rect">
                                      <a:avLst/>
                                    </a:prstGeom>
                                  </pic:spPr>
                                </pic:pic>
                              </a:graphicData>
                            </a:graphic>
                          </wp:inline>
                        </w:drawing>
                      </w:r>
                    </w:p>
                    <w:p w14:paraId="201C7000" w14:textId="5680D7F1" w:rsidR="002C2D66" w:rsidRPr="0041507B" w:rsidRDefault="002C2D66" w:rsidP="00C95F6C">
                      <w:pPr>
                        <w:pStyle w:val="FigureCaption"/>
                        <w:rPr>
                          <w:rFonts w:ascii="Times" w:hAnsi="Times"/>
                          <w:noProof/>
                        </w:rPr>
                      </w:pPr>
                      <w:bookmarkStart w:id="20" w:name="_Ref415447337"/>
                      <w:r>
                        <w:t xml:space="preserve">Fig. </w:t>
                      </w:r>
                      <w:fldSimple w:instr=" SEQ Fig. \* ARABIC ">
                        <w:r>
                          <w:rPr>
                            <w:noProof/>
                          </w:rPr>
                          <w:t>8</w:t>
                        </w:r>
                      </w:fldSimple>
                      <w:bookmarkEnd w:id="2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complete ranking from our results would not be the same (e.g., parallel coordinates-negative and scatterplot-negative swap positions), and we provide and emphasize a partial ranking (instead of a complete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45429D">
        <w:t>Results of Final Model</w:t>
      </w:r>
      <w:bookmarkEnd w:id="12"/>
    </w:p>
    <w:p w14:paraId="5B514602" w14:textId="4E5D194B" w:rsidR="007251F6" w:rsidRDefault="007251F6" w:rsidP="006E1133">
      <w:pPr>
        <w:pStyle w:val="BodyNoIndent"/>
      </w:pP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 xml:space="preserve">.1 </w:t>
      </w:r>
      <w:r w:rsidR="00D907FA" w:rsidRPr="00D907FA">
        <w:t>shows</w:t>
      </w:r>
      <w:r w:rsidR="00D907FA">
        <w:t xml:space="preserve"> the results of our model in log space for each visualization. </w:t>
      </w:r>
      <w:r w:rsidR="00902084">
        <w:t xml:space="preserve">Based on the method outlined above, </w:t>
      </w:r>
      <w:r w:rsidR="00D907FA">
        <w:t xml:space="preserve">we </w:t>
      </w:r>
      <w:r>
        <w:t xml:space="preserve">roughly group </w:t>
      </w:r>
      <w:r w:rsidRPr="00970FB0">
        <w:t>visualization × directi</w:t>
      </w:r>
      <w:r>
        <w:t xml:space="preserve">on pairs into </w:t>
      </w:r>
      <w:r w:rsidR="00D907FA">
        <w:t xml:space="preserve">a partial ranking based on the expected average </w:t>
      </w:r>
      <w:r>
        <w:t xml:space="preserve">person’s </w:t>
      </w:r>
      <w:r w:rsidR="00D907FA">
        <w:t>performance integrated over the fit lines</w:t>
      </w:r>
      <w:r>
        <w:t xml:space="preserve"> (</w:t>
      </w: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.2)</w:t>
      </w:r>
      <w:r w:rsidR="00D907FA">
        <w:t xml:space="preserve">. We can see </w:t>
      </w:r>
      <w:r>
        <w:t xml:space="preserve">four groups emerge. We then take the difference </w:t>
      </w:r>
      <w:r w:rsidR="007D4522">
        <w:t xml:space="preserve">in </w:t>
      </w:r>
      <w:r>
        <w:t xml:space="preserve">expected precision between each successive group. This difference </w:t>
      </w:r>
      <w:r w:rsidR="00F527AC">
        <w:t xml:space="preserve">in means </w:t>
      </w:r>
      <w:r>
        <w:t xml:space="preserve">(on the log scale) corresponds to a ratio </w:t>
      </w:r>
      <w:r w:rsidR="00F527AC">
        <w:t xml:space="preserve">of </w:t>
      </w:r>
      <w:r w:rsidR="0075669D">
        <w:t>geometric means</w:t>
      </w:r>
      <w:r w:rsidR="004458B9">
        <w:t xml:space="preserve"> </w:t>
      </w:r>
      <w:r>
        <w:t>on the original data scale; here we see that the visualizations in each successive group yield</w:t>
      </w:r>
      <w:r w:rsidR="00D907FA">
        <w:t xml:space="preserve"> </w:t>
      </w:r>
      <w:r w:rsidR="00902084">
        <w:t xml:space="preserve">at least </w:t>
      </w:r>
      <w:r w:rsidR="00D907FA">
        <w:t xml:space="preserve">1.5x </w:t>
      </w:r>
      <w:r>
        <w:t xml:space="preserve">better </w:t>
      </w:r>
      <w:r w:rsidR="00D907FA">
        <w:t xml:space="preserve">precision </w:t>
      </w:r>
      <w:r>
        <w:t xml:space="preserve">(lower JND) </w:t>
      </w:r>
      <w:r w:rsidR="00D907FA">
        <w:t xml:space="preserve">than the previous group </w:t>
      </w:r>
      <w:r w:rsidR="00902084">
        <w:t xml:space="preserve">on average </w:t>
      </w:r>
      <w:r>
        <w:t>(</w:t>
      </w:r>
      <w:r>
        <w:rPr>
          <w:highlight w:val="yellow"/>
        </w:rPr>
        <w:fldChar w:fldCharType="begin"/>
      </w:r>
      <w:r>
        <w:instrText xml:space="preserve"> REF _Ref415447337 \h </w:instrText>
      </w:r>
      <w:r>
        <w:rPr>
          <w:highlight w:val="yellow"/>
        </w:rPr>
      </w:r>
      <w:r>
        <w:rPr>
          <w:highlight w:val="yellow"/>
        </w:rPr>
        <w:fldChar w:fldCharType="separate"/>
      </w:r>
      <w:r w:rsidR="00DE242E">
        <w:t xml:space="preserve">Fig. </w:t>
      </w:r>
      <w:r w:rsidR="00DE242E">
        <w:rPr>
          <w:noProof/>
        </w:rPr>
        <w:t>8</w:t>
      </w:r>
      <w:r>
        <w:rPr>
          <w:highlight w:val="yellow"/>
        </w:rPr>
        <w:fldChar w:fldCharType="end"/>
      </w:r>
      <w:r>
        <w:t>.3</w:t>
      </w:r>
      <w:r w:rsidR="00D907FA">
        <w:t xml:space="preserve">). </w:t>
      </w:r>
    </w:p>
    <w:p w14:paraId="204BC9E0" w14:textId="34838F02" w:rsidR="00B4367D" w:rsidRDefault="00C01902" w:rsidP="00C95F6C">
      <w:pPr>
        <w:pStyle w:val="Body"/>
      </w:pPr>
      <w:r>
        <w:rPr>
          <w:noProof/>
        </w:rPr>
        <mc:AlternateContent>
          <mc:Choice Requires="wps">
            <w:drawing>
              <wp:anchor distT="0" distB="0" distL="114300" distR="114300" simplePos="0" relativeHeight="251678208" behindDoc="0" locked="0" layoutInCell="1" allowOverlap="0" wp14:anchorId="470ACF3C" wp14:editId="46FD22F0">
                <wp:simplePos x="0" y="0"/>
                <wp:positionH relativeFrom="margin">
                  <wp:align>right</wp:align>
                </wp:positionH>
                <wp:positionV relativeFrom="margin">
                  <wp:posOffset>3384550</wp:posOffset>
                </wp:positionV>
                <wp:extent cx="3172968" cy="2697480"/>
                <wp:effectExtent l="0" t="0" r="8890" b="8255"/>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697480"/>
                        </a:xfrm>
                        <a:prstGeom prst="rect">
                          <a:avLst/>
                        </a:prstGeom>
                        <a:solidFill>
                          <a:prstClr val="white"/>
                        </a:solidFill>
                        <a:ln>
                          <a:noFill/>
                        </a:ln>
                        <a:effectLst/>
                      </wps:spPr>
                      <wps:txbx>
                        <w:txbxContent>
                          <w:p w14:paraId="76CE730A" w14:textId="6BD1D1E0" w:rsidR="002C2D66" w:rsidRDefault="002C2D66"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25">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2C2D66" w:rsidRPr="004D3EA5" w:rsidRDefault="002C2D66" w:rsidP="00C95F6C">
                            <w:pPr>
                              <w:pStyle w:val="FigureCaption"/>
                              <w:rPr>
                                <w:rFonts w:ascii="Cambria Math" w:hAnsi="Cambria Math"/>
                                <w:noProof/>
                                <w:sz w:val="18"/>
                              </w:rPr>
                            </w:pPr>
                            <w:bookmarkStart w:id="14" w:name="_Ref415450095"/>
                            <w:r>
                              <w:t xml:space="preserve">Fig. </w:t>
                            </w:r>
                            <w:fldSimple w:instr=" SEQ Fig. \* ARABIC ">
                              <w:r>
                                <w:rPr>
                                  <w:noProof/>
                                </w:rPr>
                                <w:t>9</w:t>
                              </w:r>
                            </w:fldSimple>
                            <w:bookmarkEnd w:id="14"/>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12.4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bYqOQIAAHgEAAAOAAAAZHJzL2Uyb0RvYy54bWysVE1v2zAMvQ/YfxB0X51kQ9oYdYqsRYYB&#10;RVugHXpWZLk2IImapMTufv2e5Ljdup2GXWSKpPjxHunzi8FodlA+dGQrPj+ZcaaspLqzTxX/9rD9&#10;cMZZiMLWQpNVFX9WgV+s3787712pFtSSrpVnCGJD2buKtzG6siiCbJUR4YScsjA25I2IuPqnovai&#10;R3Sji8Vstix68rXzJFUI0F6NRr7O8ZtGyXjbNEFFpiuO2mI+fT536SzW56J88sK1nTyWIf6hCiM6&#10;i6Qvoa5EFGzvuz9CmU56CtTEE0mmoKbppMo9oJv57E03961wKvcCcIJ7gSn8v7Dy5nDnWVeDOzBl&#10;hQFHD2qI7DMNDCrg07tQwu3ewTEO0MN30gcoU9tD4036oiEGO5B+fkE3RZNQfpyfLlZLZJGwLZar&#10;009nGf/i9bnzIX5RZFgSKu5BX0ZVHK5DRClwnVxStkC6q7ed1umSDJfas4MA1X3bRZWKxIvfvLRN&#10;vpbSq9E8alSelWOW1PHYWZLisBsyQqup6x3VzwDD0zhOwclth+zXIsQ74TE/6B87EW9xNJr6itNR&#10;4qwl/+Nv+uQPWmHlrMc8Vjx83wuvONNfLQhPwzsJfhJ2k2D35pLQ9xzb5mQW8cBHPYmNJ/OIVdmk&#10;LDAJK5Gr4nESL+O4FVg1qTab7IQRdSJe23snU+gJ5YfhUXh35CiC3huaJlWUb6gafTNZbrOPwD3z&#10;mHAdUQRF6YLxzmQdVzHtz6/37PX6w1j/BAAA//8DAFBLAwQUAAYACAAAACEA3BUnIuEAAAAIAQAA&#10;DwAAAGRycy9kb3ducmV2LnhtbEyPzU7DMBCE70i8g7VIXBB1IOlPQjZVVcGBXipCL9zceBsHYjuy&#10;nTa8PeYEt1nNauabcj3pnp3J+c4ahIdZAoxMY2VnWoTD+8v9CpgPwkjRW0MI3+RhXV1flaKQ9mLe&#10;6FyHlsUQ4wuBoEIYCs59o0gLP7MDmeidrNMixNO1XDpxieG6549JsuBadCY2KDHQVlHzVY8aYZ99&#10;7NXdeHrebbLUvR7G7eKzrRFvb6bNE7BAU/h7hl/8iA5VZDra0UjPeoQ4JCDM0zSKaGd5vgR2RMjn&#10;yxXwquT/B1Q/AAAA//8DAFBLAQItABQABgAIAAAAIQC2gziS/gAAAOEBAAATAAAAAAAAAAAAAAAA&#10;AAAAAABbQ29udGVudF9UeXBlc10ueG1sUEsBAi0AFAAGAAgAAAAhADj9If/WAAAAlAEAAAsAAAAA&#10;AAAAAAAAAAAALwEAAF9yZWxzLy5yZWxzUEsBAi0AFAAGAAgAAAAhAA0ltio5AgAAeAQAAA4AAAAA&#10;AAAAAAAAAAAALgIAAGRycy9lMm9Eb2MueG1sUEsBAi0AFAAGAAgAAAAhANwVJyLhAAAACAEAAA8A&#10;AAAAAAAAAAAAAAAAkwQAAGRycy9kb3ducmV2LnhtbFBLBQYAAAAABAAEAPMAAAChBQAAAAA=&#10;" o:allowoverlap="f" stroked="f">
                <v:textbox style="mso-fit-shape-to-text:t" inset="0,0,0,0">
                  <w:txbxContent>
                    <w:p w14:paraId="76CE730A" w14:textId="6BD1D1E0" w:rsidR="002C2D66" w:rsidRDefault="002C2D66" w:rsidP="00C95F6C">
                      <w:r>
                        <w:rPr>
                          <w:noProof/>
                        </w:rPr>
                        <w:drawing>
                          <wp:inline distT="0" distB="0" distL="0" distR="0" wp14:anchorId="6B6D66AC" wp14:editId="3D78D0CE">
                            <wp:extent cx="2453640" cy="1719414"/>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26">
                                      <a:extLst>
                                        <a:ext uri="{28A0092B-C50C-407E-A947-70E740481C1C}">
                                          <a14:useLocalDpi xmlns:a14="http://schemas.microsoft.com/office/drawing/2010/main" val="0"/>
                                        </a:ext>
                                      </a:extLst>
                                    </a:blip>
                                    <a:stretch>
                                      <a:fillRect/>
                                    </a:stretch>
                                  </pic:blipFill>
                                  <pic:spPr>
                                    <a:xfrm>
                                      <a:off x="0" y="0"/>
                                      <a:ext cx="2462840" cy="1725861"/>
                                    </a:xfrm>
                                    <a:prstGeom prst="rect">
                                      <a:avLst/>
                                    </a:prstGeom>
                                  </pic:spPr>
                                </pic:pic>
                              </a:graphicData>
                            </a:graphic>
                          </wp:inline>
                        </w:drawing>
                      </w:r>
                    </w:p>
                    <w:p w14:paraId="19E90027" w14:textId="725C665D" w:rsidR="002C2D66" w:rsidRPr="004D3EA5" w:rsidRDefault="002C2D66" w:rsidP="00C95F6C">
                      <w:pPr>
                        <w:pStyle w:val="FigureCaption"/>
                        <w:rPr>
                          <w:rFonts w:ascii="Cambria Math" w:hAnsi="Cambria Math"/>
                          <w:noProof/>
                          <w:sz w:val="18"/>
                        </w:rPr>
                      </w:pPr>
                      <w:bookmarkStart w:id="22" w:name="_Ref415450095"/>
                      <w:r>
                        <w:t xml:space="preserve">Fig. </w:t>
                      </w:r>
                      <w:fldSimple w:instr=" SEQ Fig. \* ARABIC ">
                        <w:r>
                          <w:rPr>
                            <w:noProof/>
                          </w:rPr>
                          <w:t>9</w:t>
                        </w:r>
                      </w:fldSimple>
                      <w:bookmarkEnd w:id="22"/>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D907FA">
        <w:t xml:space="preserve">Note </w:t>
      </w:r>
      <w:r w:rsidR="009C4344">
        <w:t>how</w:t>
      </w:r>
      <w:r w:rsidR="00D907FA">
        <w:t xml:space="preserve"> the model accommodates the fact that several of the visualizations have </w:t>
      </w:r>
      <w:r w:rsidR="00114C14">
        <w:t xml:space="preserve">many </w:t>
      </w:r>
      <w:r w:rsidR="00D907FA">
        <w:t>observations worse than chance</w:t>
      </w:r>
      <w:r w:rsidR="007251F6">
        <w:t>. B</w:t>
      </w:r>
      <w:r w:rsidR="00114C14">
        <w:t xml:space="preserve">y formulating the model such that we did not have to drop these conditions, we were able to derive estimates of their performance, just with </w:t>
      </w:r>
      <w:r w:rsidR="00D907FA">
        <w:t>comparatively high</w:t>
      </w:r>
      <w:r w:rsidR="00114C14">
        <w:t>er</w:t>
      </w:r>
      <w:r w:rsidR="00D907FA">
        <w:t xml:space="preserve"> uncertainty</w:t>
      </w:r>
      <w:r w:rsidR="00114C14">
        <w:t xml:space="preserve"> —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DE242E">
        <w:t xml:space="preserve">Fig. </w:t>
      </w:r>
      <w:r w:rsidR="00DE242E">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them from the model.</w:t>
      </w:r>
      <w:r w:rsidR="009C4344">
        <w:t xml:space="preserve"> Given a future experiment designed to be more sensitive to JNDs in this range, we might still use these posteriors as priors in such an analysis.</w:t>
      </w:r>
    </w:p>
    <w:p w14:paraId="765AEAEE" w14:textId="18FFC208"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DE242E">
        <w:t xml:space="preserve">Fig. </w:t>
      </w:r>
      <w:r w:rsidR="00DE242E">
        <w:rPr>
          <w:noProof/>
        </w:rPr>
        <w:t>9</w:t>
      </w:r>
      <w:r w:rsidR="00A333D4">
        <w:fldChar w:fldCharType="end"/>
      </w:r>
      <w:r w:rsidR="00A333D4">
        <w:t>). W</w:t>
      </w:r>
      <w:r w:rsidR="00114C14">
        <w:t xml:space="preserve">hile parallel coordinates-negative may be slightly more variable, the difference is not credible. However, this is worth investigating further: with more data, we could estimate this difference more precisely, and also judge whether it has practical significance for design implications. For now, all evidence seems to support a general recommendation for the use of </w:t>
      </w:r>
      <w:r w:rsidR="00114C14">
        <w:lastRenderedPageBreak/>
        <w:t>scatterplots in all cases — it is in the highest-performing group of visualizations for both 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3224F352"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and concluding with a discussion of replication and the value of Bayesian analysis to it.</w:t>
      </w:r>
    </w:p>
    <w:p w14:paraId="4F06505A" w14:textId="51DB20E0" w:rsidR="00B55BC6" w:rsidRDefault="00B55BC6" w:rsidP="00C95F6C">
      <w:pPr>
        <w:pStyle w:val="Heading2"/>
      </w:pPr>
      <w:r>
        <w:t>Perceptual laws</w:t>
      </w:r>
    </w:p>
    <w:p w14:paraId="02F89531" w14:textId="25841850" w:rsidR="005A4756" w:rsidRDefault="005A4756" w:rsidP="006E1133">
      <w:pPr>
        <w:pStyle w:val="BodyNoIndent"/>
      </w:pPr>
      <w:r>
        <w:t>One implication of our work concerns the use of perceptual l</w:t>
      </w:r>
      <w:r w:rsidR="00E86D8F">
        <w:t>aws, such as Weber's and Steven</w:t>
      </w:r>
      <w:r>
        <w:t>s</w:t>
      </w:r>
      <w:r w:rsidR="00E86D8F">
        <w:t>’</w:t>
      </w:r>
      <w:r>
        <w:t xml:space="preserve"> Laws. While valuable, these models should of course be subject to </w:t>
      </w:r>
      <w:r w:rsidR="002C2D66">
        <w:t>skepticism</w:t>
      </w:r>
      <w:r>
        <w:t xml:space="preserve">. Avoiding premature theoretical commitment is a core tenet of exploratory data analysis </w:t>
      </w:r>
      <w:r>
        <w:fldChar w:fldCharType="begin" w:fldLock="1"/>
      </w:r>
      <w:r w:rsidR="00916FA9">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"[16]", "plainTextFormattedCitation" : "[16]", "previouslyFormattedCitation" : "[16]" }, "properties" : { "noteIndex" : 0 }, "schema" : "https://github.com/citation-style-language/schema/raw/master/csl-citation.json" }</w:instrText>
      </w:r>
      <w:r>
        <w:fldChar w:fldCharType="separate"/>
      </w:r>
      <w:r w:rsidR="00916FA9" w:rsidRPr="00916FA9">
        <w:rPr>
          <w:noProof/>
        </w:rPr>
        <w:t>[16]</w:t>
      </w:r>
      <w:r>
        <w:fldChar w:fldCharType="end"/>
      </w:r>
      <w:r>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p>
    <w:p w14:paraId="22966956" w14:textId="53C37F85" w:rsidR="00B55BC6" w:rsidRDefault="00B55BC6" w:rsidP="00C95F6C">
      <w:pPr>
        <w:pStyle w:val="Heading2"/>
      </w:pPr>
      <w:r>
        <w:t xml:space="preserve">Wide applicability of log </w:t>
      </w:r>
      <w:r>
        <w:br/>
        <w:t>transformation and censoring</w:t>
      </w:r>
    </w:p>
    <w:p w14:paraId="0A0CA540" w14:textId="2B3DF2BC" w:rsidR="000A534F"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p>
    <w:p w14:paraId="209CB3DE" w14:textId="70B25941"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Our use of censoring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 but not </w:t>
      </w:r>
      <w:r w:rsidRPr="00321CF1">
        <w:rPr>
          <w:i/>
        </w:rPr>
        <w:t>too much</w:t>
      </w:r>
      <w:r>
        <w:rPr>
          <w:i/>
        </w:rPr>
        <w:t xml:space="preserve"> — </w:t>
      </w:r>
      <w:r>
        <w:t>about conditions that have large numbers of observations that cross such thresholds. We see this in the large amounts of uncertainty in the model’s estimates for conditions near chance — censoring accounts for this in a principled way. Had we conducted the analysis without censoring (but still included those conditions), the estimates of those parameters would have had much less uncertainty associated with them</w:t>
      </w:r>
      <w:r w:rsidR="000A534F">
        <w:t>, giving false precision</w:t>
      </w:r>
      <w:r>
        <w:t>.</w:t>
      </w:r>
      <w:r w:rsidR="00B55BC6">
        <w:t xml:space="preserve"> As we saw, censoring also reduces bias in estimation for conditions with only some observations crossing the threshold.</w:t>
      </w:r>
    </w:p>
    <w:p w14:paraId="15CDCB8F" w14:textId="1306DF01" w:rsidR="00B55BC6" w:rsidRPr="00B55BC6" w:rsidRDefault="00B55BC6" w:rsidP="00C95F6C">
      <w:pPr>
        <w:pStyle w:val="Heading2"/>
      </w:pPr>
      <w:r>
        <w:t>Limitations</w:t>
      </w:r>
    </w:p>
    <w:p w14:paraId="340BBFB5" w14:textId="77777777"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DE242E">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DE242E">
        <w:t>7</w:t>
      </w:r>
      <w:r w:rsidR="00321CF1">
        <w:fldChar w:fldCharType="end"/>
      </w:r>
      <w:r w:rsidR="00321CF1">
        <w:t>. By contrast, we believe that the log-linear model yields equally interpretable results to a linear model with substantially better fit, motivating its preference.</w:t>
      </w:r>
    </w:p>
    <w:p w14:paraId="73FC3E1E" w14:textId="5C85122D"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t xml:space="preserve">Fig. </w:t>
      </w:r>
      <w:r>
        <w:rPr>
          <w:noProof/>
        </w:rPr>
        <w:t>5</w:t>
      </w:r>
      <w:r>
        <w:fldChar w:fldCharType="end"/>
      </w:r>
      <w:r>
        <w:t xml:space="preserve"> is moved to the left</w:t>
      </w:r>
      <w:r w:rsidR="00024605">
        <w:t xml:space="preserve"> (censoring more data)</w:t>
      </w:r>
      <w:r>
        <w:t xml:space="preserve">, </w:t>
      </w:r>
      <w:r>
        <w:lastRenderedPageBreak/>
        <w:t xml:space="preserve">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git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Pr="00ED53B9"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DE242E">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3E556D">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3E556D">
      <w:pPr>
        <w:pStyle w:val="ReferenceTitle"/>
      </w:pPr>
      <w:r w:rsidRPr="00AF146E">
        <w:t>References</w:t>
      </w:r>
    </w:p>
    <w:bookmarkStart w:id="15" w:name="_Ref6979508"/>
    <w:p w14:paraId="600A8A0B" w14:textId="78D37CDF" w:rsidR="00916FA9" w:rsidRPr="00916FA9" w:rsidRDefault="00CA5B68" w:rsidP="00916FA9">
      <w:pPr>
        <w:pStyle w:val="Referencenonumbers"/>
        <w:divId w:val="2023048421"/>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916FA9" w:rsidRPr="00916FA9">
        <w:t>[1]</w:t>
      </w:r>
      <w:r w:rsidR="00916FA9" w:rsidRPr="00916FA9">
        <w:tab/>
        <w:t xml:space="preserve">L. Harrison, F. Yang, S. Franconeri, and R. Chang, “Ranking Visualizations of Correlation Using Weber’s Law,” </w:t>
      </w:r>
      <w:r w:rsidR="00916FA9" w:rsidRPr="00916FA9">
        <w:rPr>
          <w:i/>
          <w:iCs/>
        </w:rPr>
        <w:t>IEEE Trans. Vis. Comput. Graph.</w:t>
      </w:r>
      <w:r w:rsidR="00916FA9" w:rsidRPr="00916FA9">
        <w:t>, vol. 20, no. 12, pp. 1943–1952, 2014.</w:t>
      </w:r>
    </w:p>
    <w:p w14:paraId="0F5EB52B" w14:textId="77777777" w:rsidR="00916FA9" w:rsidRPr="00916FA9" w:rsidRDefault="00916FA9" w:rsidP="00916FA9">
      <w:pPr>
        <w:pStyle w:val="Referencenonumbers"/>
        <w:divId w:val="2023048421"/>
      </w:pPr>
      <w:r w:rsidRPr="00916FA9">
        <w:t>[2]</w:t>
      </w:r>
      <w:r w:rsidRPr="00916FA9">
        <w:tab/>
        <w:t xml:space="preserve">W. S. Cleveland, C. S. Harris, and R. McGill, “Judgments of circle sizes on statistical maps,” </w:t>
      </w:r>
      <w:r w:rsidRPr="00916FA9">
        <w:rPr>
          <w:i/>
          <w:iCs/>
        </w:rPr>
        <w:t>J. Am. Stat. Assoc.</w:t>
      </w:r>
      <w:r w:rsidRPr="00916FA9">
        <w:t>, vol. 77, no. 379, pp. 541–547, 1982.</w:t>
      </w:r>
    </w:p>
    <w:p w14:paraId="3F58FF0C" w14:textId="77777777" w:rsidR="00916FA9" w:rsidRPr="00916FA9" w:rsidRDefault="00916FA9" w:rsidP="00916FA9">
      <w:pPr>
        <w:pStyle w:val="Referencenonumbers"/>
        <w:divId w:val="2023048421"/>
      </w:pPr>
      <w:r w:rsidRPr="00916FA9">
        <w:t>[3]</w:t>
      </w:r>
      <w:r w:rsidRPr="00916FA9">
        <w:tab/>
        <w:t xml:space="preserve">R. A. Rensink and G. Baldridge, “The perception of correlation in scatterplots,” </w:t>
      </w:r>
      <w:r w:rsidRPr="00916FA9">
        <w:rPr>
          <w:i/>
          <w:iCs/>
        </w:rPr>
        <w:t>Comput. Graph. Forum</w:t>
      </w:r>
      <w:r w:rsidRPr="00916FA9">
        <w:t>, vol. 29, no. 3, pp. 1203–1210, 2010.</w:t>
      </w:r>
    </w:p>
    <w:p w14:paraId="543D53B0" w14:textId="77777777" w:rsidR="00916FA9" w:rsidRPr="00916FA9" w:rsidRDefault="00916FA9" w:rsidP="00916FA9">
      <w:pPr>
        <w:pStyle w:val="Referencenonumbers"/>
        <w:divId w:val="2023048421"/>
      </w:pPr>
      <w:r w:rsidRPr="00916FA9">
        <w:t>[4]</w:t>
      </w:r>
      <w:r w:rsidRPr="00916FA9">
        <w:tab/>
        <w:t xml:space="preserve">S. S. Stevens, “On the psychophysical law,” </w:t>
      </w:r>
      <w:r w:rsidRPr="00916FA9">
        <w:rPr>
          <w:i/>
          <w:iCs/>
        </w:rPr>
        <w:t>Psychol. Rev.</w:t>
      </w:r>
      <w:r w:rsidRPr="00916FA9">
        <w:t>, vol. 64, no. 3, pp. 153–181, 1957.</w:t>
      </w:r>
    </w:p>
    <w:p w14:paraId="4FC06918" w14:textId="77777777" w:rsidR="00916FA9" w:rsidRPr="00916FA9" w:rsidRDefault="00916FA9" w:rsidP="00916FA9">
      <w:pPr>
        <w:pStyle w:val="Referencenonumbers"/>
        <w:divId w:val="2023048421"/>
      </w:pPr>
      <w:r w:rsidRPr="00916FA9">
        <w:lastRenderedPageBreak/>
        <w:t>[5]</w:t>
      </w:r>
      <w:r w:rsidRPr="00916FA9">
        <w:tab/>
        <w:t xml:space="preserve">D. M. Greem and R. Duncan Luce, “Variability of magnitude estimates: A timing theory analysis,” </w:t>
      </w:r>
      <w:r w:rsidRPr="00916FA9">
        <w:rPr>
          <w:i/>
          <w:iCs/>
        </w:rPr>
        <w:t>Percept. Psychophys.</w:t>
      </w:r>
      <w:r w:rsidRPr="00916FA9">
        <w:t>, vol. 15, no. 2, pp. 291–300, 1974.</w:t>
      </w:r>
    </w:p>
    <w:p w14:paraId="238C959D" w14:textId="77777777" w:rsidR="00916FA9" w:rsidRPr="00916FA9" w:rsidRDefault="00916FA9" w:rsidP="00916FA9">
      <w:pPr>
        <w:pStyle w:val="Referencenonumbers"/>
        <w:divId w:val="2023048421"/>
      </w:pPr>
      <w:r w:rsidRPr="00916FA9">
        <w:t>[6]</w:t>
      </w:r>
      <w:r w:rsidRPr="00916FA9">
        <w:tab/>
        <w:t xml:space="preserve">T. Hastie, R. Tibshirani, and J. Friedman, </w:t>
      </w:r>
      <w:r w:rsidRPr="00916FA9">
        <w:rPr>
          <w:i/>
          <w:iCs/>
        </w:rPr>
        <w:t>The elements of statistical learning: data mining, inference and prediction</w:t>
      </w:r>
      <w:r w:rsidRPr="00916FA9">
        <w:t>, Second Edi. Springer, 2009.</w:t>
      </w:r>
    </w:p>
    <w:p w14:paraId="63545DFB" w14:textId="77777777" w:rsidR="00916FA9" w:rsidRPr="00916FA9" w:rsidRDefault="00916FA9" w:rsidP="00916FA9">
      <w:pPr>
        <w:pStyle w:val="Referencenonumbers"/>
        <w:divId w:val="2023048421"/>
      </w:pPr>
      <w:r w:rsidRPr="00916FA9">
        <w:t>[7]</w:t>
      </w:r>
      <w:r w:rsidRPr="00916FA9">
        <w:tab/>
        <w:t xml:space="preserve">E. Limpert, W. a. Stahel, and M. Abbt, “Log-normal Distributions across the Sciences: Keys and Clues,” </w:t>
      </w:r>
      <w:r w:rsidRPr="00916FA9">
        <w:rPr>
          <w:i/>
          <w:iCs/>
        </w:rPr>
        <w:t>Bioscience</w:t>
      </w:r>
      <w:r w:rsidRPr="00916FA9">
        <w:t>, vol. 51, no. 5, p. 341, 2001.</w:t>
      </w:r>
    </w:p>
    <w:p w14:paraId="36A65DFF" w14:textId="77777777" w:rsidR="00916FA9" w:rsidRPr="00916FA9" w:rsidRDefault="00916FA9" w:rsidP="00916FA9">
      <w:pPr>
        <w:pStyle w:val="Referencenonumbers"/>
        <w:divId w:val="2023048421"/>
      </w:pPr>
      <w:r w:rsidRPr="00916FA9">
        <w:t>[8]</w:t>
      </w:r>
      <w:r w:rsidRPr="00916FA9">
        <w:tab/>
        <w:t xml:space="preserve">T. James, “Estimation of Relationships for Limited Dependent Variables,” </w:t>
      </w:r>
      <w:r w:rsidRPr="00916FA9">
        <w:rPr>
          <w:i/>
          <w:iCs/>
        </w:rPr>
        <w:t>Econometrica</w:t>
      </w:r>
      <w:r w:rsidRPr="00916FA9">
        <w:t>, vol. 26, no. 1, pp. 24–36, 1958.</w:t>
      </w:r>
    </w:p>
    <w:p w14:paraId="2770C41F" w14:textId="77777777" w:rsidR="00916FA9" w:rsidRPr="00916FA9" w:rsidRDefault="00916FA9" w:rsidP="00916FA9">
      <w:pPr>
        <w:pStyle w:val="Referencenonumbers"/>
        <w:divId w:val="2023048421"/>
      </w:pPr>
      <w:r w:rsidRPr="00916FA9">
        <w:t>[9]</w:t>
      </w:r>
      <w:r w:rsidRPr="00916FA9">
        <w:tab/>
        <w:t xml:space="preserve">T. Amemiya, “Tobit models: A survey,” </w:t>
      </w:r>
      <w:r w:rsidRPr="00916FA9">
        <w:rPr>
          <w:i/>
          <w:iCs/>
        </w:rPr>
        <w:t>J. Econom.</w:t>
      </w:r>
      <w:r w:rsidRPr="00916FA9">
        <w:t>, vol. 24, pp. 3–61, 1984.</w:t>
      </w:r>
    </w:p>
    <w:p w14:paraId="2C20B3DA" w14:textId="77777777" w:rsidR="00916FA9" w:rsidRPr="00916FA9" w:rsidRDefault="00916FA9" w:rsidP="00916FA9">
      <w:pPr>
        <w:pStyle w:val="Referencenonumbers"/>
        <w:divId w:val="2023048421"/>
      </w:pPr>
      <w:r w:rsidRPr="00916FA9">
        <w:t>[10]</w:t>
      </w:r>
      <w:r w:rsidRPr="00916FA9">
        <w:tab/>
        <w:t xml:space="preserve">J. K. Kruschke, “Bayesian data analysis,” </w:t>
      </w:r>
      <w:r w:rsidRPr="00916FA9">
        <w:rPr>
          <w:i/>
          <w:iCs/>
        </w:rPr>
        <w:t>Wiley Interdiscip. Rev. Cogn. Sci.</w:t>
      </w:r>
      <w:r w:rsidRPr="00916FA9">
        <w:t>, vol. 1, no. 5, pp. 658–676, Apr. 2010.</w:t>
      </w:r>
    </w:p>
    <w:p w14:paraId="7DA07CD2" w14:textId="77777777" w:rsidR="00916FA9" w:rsidRPr="00916FA9" w:rsidRDefault="00916FA9" w:rsidP="00916FA9">
      <w:pPr>
        <w:pStyle w:val="Referencenonumbers"/>
        <w:divId w:val="2023048421"/>
      </w:pPr>
      <w:r w:rsidRPr="00916FA9">
        <w:t>[11]</w:t>
      </w:r>
      <w:r w:rsidRPr="00916FA9">
        <w:tab/>
        <w:t xml:space="preserve">J. K. Kruschke, </w:t>
      </w:r>
      <w:r w:rsidRPr="00916FA9">
        <w:rPr>
          <w:i/>
          <w:iCs/>
        </w:rPr>
        <w:t>Doing Bayesian Data Analysis</w:t>
      </w:r>
      <w:r w:rsidRPr="00916FA9">
        <w:t>. Elsevier Inc., 2011.</w:t>
      </w:r>
    </w:p>
    <w:p w14:paraId="10E18133" w14:textId="77777777" w:rsidR="00916FA9" w:rsidRPr="00916FA9" w:rsidRDefault="00916FA9" w:rsidP="00916FA9">
      <w:pPr>
        <w:pStyle w:val="Referencenonumbers"/>
        <w:divId w:val="2023048421"/>
      </w:pPr>
      <w:r w:rsidRPr="00916FA9">
        <w:t>[12]</w:t>
      </w:r>
      <w:r w:rsidRPr="00916FA9">
        <w:tab/>
        <w:t>D. Bates, M. Maechler, B. Bolker, and S. Walker, “lme4: Linear mixed-effects models using Eigen and S4, R package version 1.1-7.” 2014.</w:t>
      </w:r>
    </w:p>
    <w:p w14:paraId="36262D36" w14:textId="77777777" w:rsidR="00916FA9" w:rsidRPr="00916FA9" w:rsidRDefault="00916FA9" w:rsidP="00916FA9">
      <w:pPr>
        <w:pStyle w:val="Referencenonumbers"/>
        <w:divId w:val="2023048421"/>
      </w:pPr>
      <w:r w:rsidRPr="00916FA9">
        <w:t>[13]</w:t>
      </w:r>
      <w:r w:rsidRPr="00916FA9">
        <w:tab/>
        <w:t xml:space="preserve">D. J. Barr, R. Levy, C. Scheepers, and H. J. Tily, “Random effects structure for confirmatory hypothesis testing: Keep it maximal,” </w:t>
      </w:r>
      <w:r w:rsidRPr="00916FA9">
        <w:rPr>
          <w:i/>
          <w:iCs/>
        </w:rPr>
        <w:t>J. Mem. Lang.</w:t>
      </w:r>
      <w:r w:rsidRPr="00916FA9">
        <w:t>, vol. 68, no. 3, pp. 255–278, 2013.</w:t>
      </w:r>
    </w:p>
    <w:p w14:paraId="71A1467B" w14:textId="77777777" w:rsidR="00916FA9" w:rsidRPr="00916FA9" w:rsidRDefault="00916FA9" w:rsidP="00916FA9">
      <w:pPr>
        <w:pStyle w:val="Referencenonumbers"/>
        <w:divId w:val="2023048421"/>
      </w:pPr>
      <w:r w:rsidRPr="00916FA9">
        <w:t>[14]</w:t>
      </w:r>
      <w:r w:rsidRPr="00916FA9">
        <w:tab/>
        <w:t xml:space="preserve">S. H. . Hurlbert, “Pseudoreplication and the Design of Ecological Field Experiments,” </w:t>
      </w:r>
      <w:r w:rsidRPr="00916FA9">
        <w:rPr>
          <w:i/>
          <w:iCs/>
        </w:rPr>
        <w:t>Ecol. Monogr.</w:t>
      </w:r>
      <w:r w:rsidRPr="00916FA9">
        <w:t>, vol. 54, no. 2, pp. 187–211, 1984.</w:t>
      </w:r>
    </w:p>
    <w:p w14:paraId="5319E307" w14:textId="77777777" w:rsidR="00916FA9" w:rsidRPr="00916FA9" w:rsidRDefault="00916FA9" w:rsidP="00916FA9">
      <w:pPr>
        <w:pStyle w:val="Referencenonumbers"/>
        <w:divId w:val="2023048421"/>
      </w:pPr>
      <w:r w:rsidRPr="00916FA9">
        <w:t>[15]</w:t>
      </w:r>
      <w:r w:rsidRPr="00916FA9">
        <w:tab/>
        <w:t xml:space="preserve">M. Plummer, “JAGS: A Program for Analysis of Bayesian Graphical Models Using Gibbs Sampling,” </w:t>
      </w:r>
      <w:r w:rsidRPr="00916FA9">
        <w:rPr>
          <w:i/>
          <w:iCs/>
        </w:rPr>
        <w:t>Proc. 3rd Int. Work. Distrib. Stat. Comput. (DSC 2003)</w:t>
      </w:r>
      <w:r w:rsidRPr="00916FA9">
        <w:t>, 2003.</w:t>
      </w:r>
    </w:p>
    <w:p w14:paraId="2327779C" w14:textId="77777777" w:rsidR="00916FA9" w:rsidRPr="00916FA9" w:rsidRDefault="00916FA9" w:rsidP="00916FA9">
      <w:pPr>
        <w:pStyle w:val="Referencenonumbers"/>
        <w:divId w:val="2023048421"/>
      </w:pPr>
      <w:r w:rsidRPr="00916FA9">
        <w:t>[16]</w:t>
      </w:r>
      <w:r w:rsidRPr="00916FA9">
        <w:tab/>
        <w:t xml:space="preserve">J. W. Tukey, </w:t>
      </w:r>
      <w:r w:rsidRPr="00916FA9">
        <w:rPr>
          <w:i/>
          <w:iCs/>
        </w:rPr>
        <w:t>Exploratory Data Analysis</w:t>
      </w:r>
      <w:r w:rsidRPr="00916FA9">
        <w:t>. Addison-Wesley, 1977.</w:t>
      </w:r>
    </w:p>
    <w:p w14:paraId="3C245D03" w14:textId="77777777" w:rsidR="00916FA9" w:rsidRPr="00916FA9" w:rsidRDefault="00916FA9" w:rsidP="00916FA9">
      <w:pPr>
        <w:pStyle w:val="Referencenonumbers"/>
        <w:divId w:val="2023048421"/>
      </w:pPr>
      <w:r w:rsidRPr="00916FA9">
        <w:t>[17]</w:t>
      </w:r>
      <w:r w:rsidRPr="00916FA9">
        <w:tab/>
        <w:t xml:space="preserve">R. A. Rigby and D. M. Stasinopoulos, “Generalized additive models for location, scale, and shape,” </w:t>
      </w:r>
      <w:r w:rsidRPr="00916FA9">
        <w:rPr>
          <w:i/>
          <w:iCs/>
        </w:rPr>
        <w:t>Appl. Stat.</w:t>
      </w:r>
      <w:r w:rsidRPr="00916FA9">
        <w:t>, vol. 54, no. 3, pp. 507–554, 2005.</w:t>
      </w:r>
    </w:p>
    <w:p w14:paraId="5A10FE8D" w14:textId="77777777" w:rsidR="00916FA9" w:rsidRPr="00916FA9" w:rsidRDefault="00916FA9" w:rsidP="00916FA9">
      <w:pPr>
        <w:pStyle w:val="Referencenonumbers"/>
        <w:divId w:val="2023048421"/>
      </w:pPr>
      <w:r w:rsidRPr="00916FA9">
        <w:t>[18]</w:t>
      </w:r>
      <w:r w:rsidRPr="00916FA9">
        <w:tab/>
        <w:t xml:space="preserve">G. E. P. Box and D. R. Cox, “An analysis of transformations,” </w:t>
      </w:r>
      <w:r w:rsidRPr="00916FA9">
        <w:rPr>
          <w:i/>
          <w:iCs/>
        </w:rPr>
        <w:t>J. R. Stat. Soc. Ser. B</w:t>
      </w:r>
      <w:r w:rsidRPr="00916FA9">
        <w:t>, vol. 26, no. 2, pp. 211–252, 1964.</w:t>
      </w:r>
    </w:p>
    <w:p w14:paraId="5902457B" w14:textId="77777777" w:rsidR="00916FA9" w:rsidRPr="00916FA9" w:rsidRDefault="00916FA9" w:rsidP="00916FA9">
      <w:pPr>
        <w:pStyle w:val="Referencenonumbers"/>
        <w:divId w:val="2023048421"/>
      </w:pPr>
      <w:r w:rsidRPr="00916FA9">
        <w:t>[19]</w:t>
      </w:r>
      <w:r w:rsidRPr="00916FA9">
        <w:tab/>
        <w:t xml:space="preserve">M. Stone, “An Asymptotic Equivalence of Choice of Model by Cross-Validation and Akaike’s Criterion,” </w:t>
      </w:r>
      <w:r w:rsidRPr="00916FA9">
        <w:rPr>
          <w:i/>
          <w:iCs/>
        </w:rPr>
        <w:t>J. R. Stat. Soc. Ser. B</w:t>
      </w:r>
      <w:r w:rsidRPr="00916FA9">
        <w:t>, vol. 39, no. 1, pp. 44–47, 1977.</w:t>
      </w:r>
    </w:p>
    <w:p w14:paraId="47306CDB" w14:textId="77777777" w:rsidR="00916FA9" w:rsidRPr="00916FA9" w:rsidRDefault="00916FA9" w:rsidP="00916FA9">
      <w:pPr>
        <w:pStyle w:val="Referencenonumbers"/>
        <w:divId w:val="2023048421"/>
      </w:pPr>
      <w:r w:rsidRPr="00916FA9">
        <w:t>[20]</w:t>
      </w:r>
      <w:r w:rsidRPr="00916FA9">
        <w:tab/>
        <w:t xml:space="preserve">A. E. Raftery and S. M. Lewis, “Comment: One Long Run with Diagnostics: Implementation Strategies for Markov Chain Monte Carlo,” </w:t>
      </w:r>
      <w:r w:rsidRPr="00916FA9">
        <w:rPr>
          <w:i/>
          <w:iCs/>
        </w:rPr>
        <w:t>Stat. Sci.</w:t>
      </w:r>
      <w:r w:rsidRPr="00916FA9">
        <w:t>, vol. 7, no. 4, pp. 493–497, 1992.</w:t>
      </w:r>
    </w:p>
    <w:p w14:paraId="27CCD9FD" w14:textId="77777777" w:rsidR="00916FA9" w:rsidRPr="00916FA9" w:rsidRDefault="00916FA9" w:rsidP="00916FA9">
      <w:pPr>
        <w:pStyle w:val="Referencenonumbers"/>
        <w:divId w:val="2023048421"/>
      </w:pPr>
      <w:r w:rsidRPr="00916FA9">
        <w:t>[21]</w:t>
      </w:r>
      <w:r w:rsidRPr="00916FA9">
        <w:tab/>
        <w:t xml:space="preserve">A. Gelman and D. B. Rubin, “lnference from Iterative Simulation Using Multiple Sequences,” </w:t>
      </w:r>
      <w:r w:rsidRPr="00916FA9">
        <w:rPr>
          <w:i/>
          <w:iCs/>
        </w:rPr>
        <w:t>Stat. Sci.</w:t>
      </w:r>
      <w:r w:rsidRPr="00916FA9">
        <w:t xml:space="preserve">, vol. 7, no. 4, pp. 457–472, 1992. </w:t>
      </w:r>
    </w:p>
    <w:p w14:paraId="4F04B74D" w14:textId="2E8D3EF4" w:rsidR="00BF4F16" w:rsidRPr="0068288C" w:rsidRDefault="00CA5B68" w:rsidP="00916FA9">
      <w:pPr>
        <w:pStyle w:val="Referencenonumbers"/>
      </w:pPr>
      <w:r w:rsidRPr="00AF146E">
        <w:fldChar w:fldCharType="end"/>
      </w:r>
      <w:bookmarkEnd w:id="15"/>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A256C" w14:textId="77777777" w:rsidR="00274317" w:rsidRDefault="00274317" w:rsidP="00C95F6C">
      <w:r>
        <w:separator/>
      </w:r>
    </w:p>
  </w:endnote>
  <w:endnote w:type="continuationSeparator" w:id="0">
    <w:p w14:paraId="505A8DD5" w14:textId="77777777" w:rsidR="00274317" w:rsidRDefault="00274317"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2C2D66" w:rsidRDefault="002C2D66"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573E52" w14:textId="77777777" w:rsidR="00274317" w:rsidRDefault="00274317" w:rsidP="00C95F6C">
      <w:r>
        <w:separator/>
      </w:r>
    </w:p>
  </w:footnote>
  <w:footnote w:type="continuationSeparator" w:id="0">
    <w:p w14:paraId="6A4AD9F3" w14:textId="77777777" w:rsidR="00274317" w:rsidRDefault="00274317" w:rsidP="00C95F6C">
      <w:r>
        <w:continuationSeparator/>
      </w:r>
    </w:p>
  </w:footnote>
  <w:footnote w:id="1">
    <w:p w14:paraId="5837AB95" w14:textId="0527F610" w:rsidR="002C2D66" w:rsidRDefault="002C2D66" w:rsidP="006E1133">
      <w:pPr>
        <w:pStyle w:val="FOOTNOTE0"/>
      </w:pPr>
      <w:r>
        <w:rPr>
          <w:rStyle w:val="FootnoteReference"/>
        </w:rPr>
        <w:footnoteRef/>
      </w:r>
      <w:r>
        <w:t xml:space="preserve"> This and all other non-Bayesian models in this paper were fit using the </w:t>
      </w:r>
      <w:r w:rsidRPr="002B062E">
        <w:rPr>
          <w:rFonts w:ascii="Courier New" w:hAnsi="Courier New" w:cs="Courier New"/>
          <w:sz w:val="14"/>
        </w:rPr>
        <w:t>gamlss</w:t>
      </w:r>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"[17]", "plainTextFormattedCitation" : "[17]", "previouslyFormattedCitation" : "[17]" }, "properties" : { "noteIndex" : 0 }, "schema" : "https://github.com/citation-style-language/schema/raw/master/csl-citation.json" }</w:instrText>
      </w:r>
      <w:r>
        <w:fldChar w:fldCharType="separate"/>
      </w:r>
      <w:r w:rsidRPr="00916FA9">
        <w:rPr>
          <w:noProof/>
        </w:rPr>
        <w:t>[17]</w:t>
      </w:r>
      <w:r>
        <w:fldChar w:fldCharType="end"/>
      </w:r>
      <w:r>
        <w:t>.</w:t>
      </w:r>
    </w:p>
  </w:footnote>
  <w:footnote w:id="2">
    <w:p w14:paraId="079BEB0B" w14:textId="0CEBF714" w:rsidR="002C2D66" w:rsidRPr="00645A2C" w:rsidRDefault="002C2D66" w:rsidP="006E1133">
      <w:pPr>
        <w:pStyle w:val="FOOTNOTE0"/>
      </w:pPr>
      <w:r>
        <w:rPr>
          <w:rStyle w:val="FootnoteReference"/>
        </w:rPr>
        <w:footnoteRef/>
      </w:r>
      <w:r>
        <w:t xml:space="preserve"> We can more systematically justify this transformation by fitting a Box-Cox transformation </w:t>
      </w:r>
      <w:r>
        <w:fldChar w:fldCharType="begin" w:fldLock="1"/>
      </w:r>
      <w:r>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"[18]", "plainTextFormattedCitation" : "[18]", "previouslyFormattedCitation" : "[18]" }, "properties" : { "noteIndex" : 0 }, "schema" : "https://github.com/citation-style-language/schema/raw/master/csl-citation.json" }</w:instrText>
      </w:r>
      <w:r>
        <w:fldChar w:fldCharType="separate"/>
      </w:r>
      <w:r w:rsidRPr="00916FA9">
        <w:rPr>
          <w:noProof/>
        </w:rPr>
        <w:t>[18]</w:t>
      </w:r>
      <w:r>
        <w:fldChar w:fldCharType="end"/>
      </w:r>
      <w:r>
        <w:t xml:space="preserve"> to the data, whose parameter </w:t>
      </w:r>
      <m:oMath>
        <m:r>
          <w:rPr>
            <w:rFonts w:ascii="Cambria Math" w:hAnsi="Cambria Math"/>
          </w:rPr>
          <m:t>λ</m:t>
        </m:r>
      </m:oMath>
      <w:r>
        <w:t xml:space="preserve"> describes a </w:t>
      </w:r>
      <w:r w:rsidRPr="00A32C0A">
        <w:t>power</w:t>
      </w:r>
      <w:r>
        <w:t xml:space="preserve"> transformation of JND. The Box-Cox procedure for this data estimates </w:t>
      </w:r>
      <m:oMath>
        <m:r>
          <w:rPr>
            <w:rFonts w:ascii="Cambria Math" w:hAnsi="Cambria Math"/>
          </w:rPr>
          <m:t>λ=0.0292</m:t>
        </m:r>
      </m:oMath>
      <w:r>
        <w:t xml:space="preserve"> with a </w:t>
      </w:r>
      <w:r w:rsidRPr="00D20D86">
        <w:t>95</w:t>
      </w:r>
      <w:r>
        <w:t xml:space="preserve">% confidence interval of </w:t>
      </w:r>
      <m:oMath>
        <m:r>
          <w:rPr>
            <w:rFonts w:ascii="Cambria Math" w:hAnsi="Cambria Math"/>
          </w:rPr>
          <m:t>[-0.005, 0.0635]</m:t>
        </m:r>
      </m:oMath>
      <w:r w:rsidRPr="00D20D86">
        <w:t>,</w:t>
      </w:r>
      <w:r>
        <w:t xml:space="preserve"> which includes 0 (the log transform) and excludes </w:t>
      </w:r>
      <w:r w:rsidRPr="00D20D86">
        <w:t>1</w:t>
      </w:r>
      <w:r>
        <w:t xml:space="preserve"> (identity; i.e. the linear model) at </w:t>
      </w:r>
      <w:r>
        <w:rPr>
          <w:i/>
        </w:rPr>
        <w:t xml:space="preserve">p </w:t>
      </w:r>
      <w:r>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t>).</w:t>
      </w:r>
    </w:p>
  </w:footnote>
  <w:footnote w:id="3">
    <w:p w14:paraId="0394AD16" w14:textId="3A4CC3D3" w:rsidR="002C2D66" w:rsidRPr="004B5468" w:rsidRDefault="002C2D66" w:rsidP="006E1133">
      <w:pPr>
        <w:pStyle w:val="FOOTNOTE0"/>
      </w:pPr>
      <w:r>
        <w:rPr>
          <w:rStyle w:val="FootnoteReference"/>
        </w:rPr>
        <w:footnoteRef/>
      </w:r>
      <w:r>
        <w:t xml:space="preserve"> Model comparison by the Akaike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The log-linear model was fit using a log-normal error distribution (rather than the equivalent log transformation of responses with a normal error distribution shown here) so that its AIC can be compared to the linear model.</w:t>
      </w:r>
    </w:p>
  </w:footnote>
  <w:footnote w:id="4">
    <w:p w14:paraId="061059E9" w14:textId="77777777" w:rsidR="002C2D66" w:rsidRDefault="002C2D66"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non-censored log-linear model.</w:t>
      </w:r>
    </w:p>
  </w:footnote>
  <w:footnote w:id="5">
    <w:p w14:paraId="751E400A" w14:textId="77777777" w:rsidR="002C2D66" w:rsidRDefault="002C2D66"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2C2D66" w:rsidRDefault="002C2D66"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E19F12E" w14:textId="547F6807" w:rsidR="002C2D66" w:rsidRDefault="002C2D66" w:rsidP="006E1133">
      <w:pPr>
        <w:pStyle w:val="FOOTNOTE0"/>
      </w:pPr>
      <w:r>
        <w:rPr>
          <w:rStyle w:val="FootnoteReference"/>
        </w:rPr>
        <w:footnoteRef/>
      </w:r>
      <w:r>
        <w:t xml:space="preserve"> Two pilot chains were run, and the Raftery-Lewis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Chain starting values (with different random seeds) were set from the model in Section </w:t>
      </w:r>
      <w:r>
        <w:fldChar w:fldCharType="begin"/>
      </w:r>
      <w:r>
        <w:instrText xml:space="preserve"> REF _Ref415409868 \r \h </w:instrText>
      </w:r>
      <w:r>
        <w:fldChar w:fldCharType="separate"/>
      </w:r>
      <w:r>
        <w:t>5</w:t>
      </w:r>
      <w:r>
        <w:fldChar w:fldCharType="end"/>
      </w:r>
      <w:r>
        <w:t xml:space="preserve">. Convergence was assessed by visual inspection of trace plots, density plots, and autocorrelation plots, and all parameters passed the Gelman-Rubin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8">
    <w:p w14:paraId="0D517530" w14:textId="77777777" w:rsidR="002C2D66" w:rsidRDefault="002C2D66"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24AC595C"/>
    <w:lvl w:ilvl="0">
      <w:start w:val="1"/>
      <w:numFmt w:val="decimal"/>
      <w:lvlText w:val="%1."/>
      <w:lvlJc w:val="left"/>
      <w:pPr>
        <w:tabs>
          <w:tab w:val="num" w:pos="1492"/>
        </w:tabs>
        <w:ind w:left="1492" w:hanging="360"/>
      </w:pPr>
    </w:lvl>
  </w:abstractNum>
  <w:abstractNum w:abstractNumId="2">
    <w:nsid w:val="FFFFFF7D"/>
    <w:multiLevelType w:val="singleLevel"/>
    <w:tmpl w:val="5776B794"/>
    <w:lvl w:ilvl="0">
      <w:start w:val="1"/>
      <w:numFmt w:val="decimal"/>
      <w:lvlText w:val="%1."/>
      <w:lvlJc w:val="left"/>
      <w:pPr>
        <w:tabs>
          <w:tab w:val="num" w:pos="1209"/>
        </w:tabs>
        <w:ind w:left="1209" w:hanging="360"/>
      </w:pPr>
    </w:lvl>
  </w:abstractNum>
  <w:abstractNum w:abstractNumId="3">
    <w:nsid w:val="FFFFFF7E"/>
    <w:multiLevelType w:val="singleLevel"/>
    <w:tmpl w:val="CAC46BE4"/>
    <w:lvl w:ilvl="0">
      <w:start w:val="1"/>
      <w:numFmt w:val="decimal"/>
      <w:lvlText w:val="%1."/>
      <w:lvlJc w:val="left"/>
      <w:pPr>
        <w:tabs>
          <w:tab w:val="num" w:pos="926"/>
        </w:tabs>
        <w:ind w:left="926" w:hanging="360"/>
      </w:pPr>
    </w:lvl>
  </w:abstractNum>
  <w:abstractNum w:abstractNumId="4">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96EFD12"/>
    <w:lvl w:ilvl="0">
      <w:start w:val="1"/>
      <w:numFmt w:val="decimal"/>
      <w:lvlText w:val="%1."/>
      <w:lvlJc w:val="left"/>
      <w:pPr>
        <w:tabs>
          <w:tab w:val="num" w:pos="360"/>
        </w:tabs>
        <w:ind w:left="360" w:hanging="360"/>
      </w:pPr>
    </w:lvl>
  </w:abstractNum>
  <w:abstractNum w:abstractNumId="1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mirrorMargins/>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5221"/>
    <w:rsid w:val="00043682"/>
    <w:rsid w:val="00047789"/>
    <w:rsid w:val="000540D0"/>
    <w:rsid w:val="00061E9A"/>
    <w:rsid w:val="00084D1E"/>
    <w:rsid w:val="000857B7"/>
    <w:rsid w:val="000914EA"/>
    <w:rsid w:val="000A534F"/>
    <w:rsid w:val="000B6EE1"/>
    <w:rsid w:val="000C14DA"/>
    <w:rsid w:val="000C6B79"/>
    <w:rsid w:val="000D4CE2"/>
    <w:rsid w:val="000E1078"/>
    <w:rsid w:val="000E1DC9"/>
    <w:rsid w:val="000E3078"/>
    <w:rsid w:val="000E6D5F"/>
    <w:rsid w:val="000F2B97"/>
    <w:rsid w:val="00106A47"/>
    <w:rsid w:val="00114C14"/>
    <w:rsid w:val="00122330"/>
    <w:rsid w:val="00130786"/>
    <w:rsid w:val="00146BC7"/>
    <w:rsid w:val="00151D71"/>
    <w:rsid w:val="001520B7"/>
    <w:rsid w:val="001563BC"/>
    <w:rsid w:val="00175038"/>
    <w:rsid w:val="00180CF8"/>
    <w:rsid w:val="0019125A"/>
    <w:rsid w:val="001A28C0"/>
    <w:rsid w:val="001B4E46"/>
    <w:rsid w:val="001B54A8"/>
    <w:rsid w:val="001B5572"/>
    <w:rsid w:val="001C2481"/>
    <w:rsid w:val="00206BA7"/>
    <w:rsid w:val="002157C7"/>
    <w:rsid w:val="00223232"/>
    <w:rsid w:val="002248C4"/>
    <w:rsid w:val="002476FC"/>
    <w:rsid w:val="00263093"/>
    <w:rsid w:val="00274317"/>
    <w:rsid w:val="00274F85"/>
    <w:rsid w:val="00281009"/>
    <w:rsid w:val="002A0313"/>
    <w:rsid w:val="002B062E"/>
    <w:rsid w:val="002C08A6"/>
    <w:rsid w:val="002C2D66"/>
    <w:rsid w:val="002C6DE2"/>
    <w:rsid w:val="002D2C33"/>
    <w:rsid w:val="002E5C04"/>
    <w:rsid w:val="00313909"/>
    <w:rsid w:val="00314127"/>
    <w:rsid w:val="003145F7"/>
    <w:rsid w:val="00317108"/>
    <w:rsid w:val="00321CF1"/>
    <w:rsid w:val="003257C5"/>
    <w:rsid w:val="00337EDC"/>
    <w:rsid w:val="00347A2B"/>
    <w:rsid w:val="003568B8"/>
    <w:rsid w:val="00374152"/>
    <w:rsid w:val="00374501"/>
    <w:rsid w:val="003A3EA7"/>
    <w:rsid w:val="003B0C3E"/>
    <w:rsid w:val="003B0DE6"/>
    <w:rsid w:val="003B391C"/>
    <w:rsid w:val="003B52D8"/>
    <w:rsid w:val="003B7ACB"/>
    <w:rsid w:val="003C5380"/>
    <w:rsid w:val="003C677D"/>
    <w:rsid w:val="003D68A2"/>
    <w:rsid w:val="003E4F0F"/>
    <w:rsid w:val="003E556D"/>
    <w:rsid w:val="003F2246"/>
    <w:rsid w:val="003F4581"/>
    <w:rsid w:val="00401EDB"/>
    <w:rsid w:val="00405D39"/>
    <w:rsid w:val="00423F2A"/>
    <w:rsid w:val="00436C54"/>
    <w:rsid w:val="004444C4"/>
    <w:rsid w:val="004458B9"/>
    <w:rsid w:val="004524B7"/>
    <w:rsid w:val="00454264"/>
    <w:rsid w:val="0045429D"/>
    <w:rsid w:val="00465602"/>
    <w:rsid w:val="004736D6"/>
    <w:rsid w:val="004B5468"/>
    <w:rsid w:val="004C105F"/>
    <w:rsid w:val="004C5935"/>
    <w:rsid w:val="004D14EF"/>
    <w:rsid w:val="004F79C7"/>
    <w:rsid w:val="00506F88"/>
    <w:rsid w:val="005102B8"/>
    <w:rsid w:val="00512C9E"/>
    <w:rsid w:val="00514CA4"/>
    <w:rsid w:val="00551318"/>
    <w:rsid w:val="00553ED8"/>
    <w:rsid w:val="00562F91"/>
    <w:rsid w:val="00567F6A"/>
    <w:rsid w:val="0057232C"/>
    <w:rsid w:val="00584487"/>
    <w:rsid w:val="00595BAE"/>
    <w:rsid w:val="005A2D93"/>
    <w:rsid w:val="005A4756"/>
    <w:rsid w:val="005A501A"/>
    <w:rsid w:val="005A5673"/>
    <w:rsid w:val="005B56CC"/>
    <w:rsid w:val="005C0D58"/>
    <w:rsid w:val="005C3240"/>
    <w:rsid w:val="005D41E3"/>
    <w:rsid w:val="005D625B"/>
    <w:rsid w:val="005F43DA"/>
    <w:rsid w:val="00603C52"/>
    <w:rsid w:val="00627405"/>
    <w:rsid w:val="00627B7A"/>
    <w:rsid w:val="006319F1"/>
    <w:rsid w:val="00634CA6"/>
    <w:rsid w:val="00645A2C"/>
    <w:rsid w:val="006515FD"/>
    <w:rsid w:val="006521B3"/>
    <w:rsid w:val="00653F3B"/>
    <w:rsid w:val="0065658E"/>
    <w:rsid w:val="00657CE0"/>
    <w:rsid w:val="0066307A"/>
    <w:rsid w:val="006739FF"/>
    <w:rsid w:val="0068357E"/>
    <w:rsid w:val="006856E7"/>
    <w:rsid w:val="0069770F"/>
    <w:rsid w:val="006A7C34"/>
    <w:rsid w:val="006B66B0"/>
    <w:rsid w:val="006E1133"/>
    <w:rsid w:val="006F295C"/>
    <w:rsid w:val="006F7D37"/>
    <w:rsid w:val="006F7DA5"/>
    <w:rsid w:val="00701E02"/>
    <w:rsid w:val="0070541A"/>
    <w:rsid w:val="00706A57"/>
    <w:rsid w:val="00714725"/>
    <w:rsid w:val="007251F6"/>
    <w:rsid w:val="007336F6"/>
    <w:rsid w:val="00733F95"/>
    <w:rsid w:val="00740D1E"/>
    <w:rsid w:val="0075669D"/>
    <w:rsid w:val="007C550A"/>
    <w:rsid w:val="007C7145"/>
    <w:rsid w:val="007D0B04"/>
    <w:rsid w:val="007D4522"/>
    <w:rsid w:val="007E080A"/>
    <w:rsid w:val="007E1A8B"/>
    <w:rsid w:val="007F0D1F"/>
    <w:rsid w:val="007F67F9"/>
    <w:rsid w:val="00806471"/>
    <w:rsid w:val="008154CE"/>
    <w:rsid w:val="00817722"/>
    <w:rsid w:val="008304C8"/>
    <w:rsid w:val="00850159"/>
    <w:rsid w:val="008560D3"/>
    <w:rsid w:val="00865CFA"/>
    <w:rsid w:val="008726E3"/>
    <w:rsid w:val="00874021"/>
    <w:rsid w:val="00875331"/>
    <w:rsid w:val="00880CBF"/>
    <w:rsid w:val="008816F4"/>
    <w:rsid w:val="00884875"/>
    <w:rsid w:val="00886B50"/>
    <w:rsid w:val="00887F59"/>
    <w:rsid w:val="008971C7"/>
    <w:rsid w:val="008B02BC"/>
    <w:rsid w:val="008B7DE6"/>
    <w:rsid w:val="008D64EC"/>
    <w:rsid w:val="008D7BA3"/>
    <w:rsid w:val="008E1A6C"/>
    <w:rsid w:val="008E3B65"/>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A1F4D"/>
    <w:rsid w:val="009B017E"/>
    <w:rsid w:val="009B0E57"/>
    <w:rsid w:val="009B0E8B"/>
    <w:rsid w:val="009C3B37"/>
    <w:rsid w:val="009C4344"/>
    <w:rsid w:val="009C67F7"/>
    <w:rsid w:val="009D2255"/>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61653"/>
    <w:rsid w:val="00A6339A"/>
    <w:rsid w:val="00A70267"/>
    <w:rsid w:val="00A71C65"/>
    <w:rsid w:val="00A864D8"/>
    <w:rsid w:val="00A96278"/>
    <w:rsid w:val="00AB0820"/>
    <w:rsid w:val="00AB38AE"/>
    <w:rsid w:val="00AB7011"/>
    <w:rsid w:val="00AB75C6"/>
    <w:rsid w:val="00AE2021"/>
    <w:rsid w:val="00AE7063"/>
    <w:rsid w:val="00AF146E"/>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4F16"/>
    <w:rsid w:val="00C01836"/>
    <w:rsid w:val="00C01902"/>
    <w:rsid w:val="00C14F6A"/>
    <w:rsid w:val="00C255A3"/>
    <w:rsid w:val="00C5073D"/>
    <w:rsid w:val="00C51D28"/>
    <w:rsid w:val="00C60F4E"/>
    <w:rsid w:val="00C63FB1"/>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63964"/>
    <w:rsid w:val="00D7290D"/>
    <w:rsid w:val="00D87AE0"/>
    <w:rsid w:val="00D87CFD"/>
    <w:rsid w:val="00D907FA"/>
    <w:rsid w:val="00DA164E"/>
    <w:rsid w:val="00DA412A"/>
    <w:rsid w:val="00DB4B8B"/>
    <w:rsid w:val="00DE242E"/>
    <w:rsid w:val="00DE45AA"/>
    <w:rsid w:val="00DF1579"/>
    <w:rsid w:val="00DF315C"/>
    <w:rsid w:val="00DF7EAC"/>
    <w:rsid w:val="00E01F7A"/>
    <w:rsid w:val="00E34A1D"/>
    <w:rsid w:val="00E51931"/>
    <w:rsid w:val="00E52A54"/>
    <w:rsid w:val="00E553A6"/>
    <w:rsid w:val="00E553B3"/>
    <w:rsid w:val="00E729C8"/>
    <w:rsid w:val="00E7531D"/>
    <w:rsid w:val="00E8164B"/>
    <w:rsid w:val="00E83D86"/>
    <w:rsid w:val="00E86D8F"/>
    <w:rsid w:val="00EB0E17"/>
    <w:rsid w:val="00EB3DDB"/>
    <w:rsid w:val="00EC4281"/>
    <w:rsid w:val="00ED53B9"/>
    <w:rsid w:val="00EE0A4D"/>
    <w:rsid w:val="00EE5282"/>
    <w:rsid w:val="00F0178A"/>
    <w:rsid w:val="00F20817"/>
    <w:rsid w:val="00F428D1"/>
    <w:rsid w:val="00F446D9"/>
    <w:rsid w:val="00F44CC1"/>
    <w:rsid w:val="00F50400"/>
    <w:rsid w:val="00F51E9F"/>
    <w:rsid w:val="00F527AC"/>
    <w:rsid w:val="00F53FB6"/>
    <w:rsid w:val="00F63D98"/>
    <w:rsid w:val="00F843E8"/>
    <w:rsid w:val="00FA1A7E"/>
    <w:rsid w:val="00FB262F"/>
    <w:rsid w:val="00FB69C9"/>
    <w:rsid w:val="00FD1A6D"/>
    <w:rsid w:val="00FE2273"/>
    <w:rsid w:val="00FF3F6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5472E2"/>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3.wmf"/><Relationship Id="rId18" Type="http://schemas.openxmlformats.org/officeDocument/2006/relationships/image" Target="media/image50.wmf"/><Relationship Id="rId26" Type="http://schemas.openxmlformats.org/officeDocument/2006/relationships/image" Target="media/image90.wmf"/><Relationship Id="rId3" Type="http://schemas.openxmlformats.org/officeDocument/2006/relationships/styles" Target="styles.xml"/><Relationship Id="rId21" Type="http://schemas.openxmlformats.org/officeDocument/2006/relationships/image" Target="media/image7.wmf"/><Relationship Id="rId7" Type="http://schemas.openxmlformats.org/officeDocument/2006/relationships/endnotes" Target="endnotes.xml"/><Relationship Id="rId12" Type="http://schemas.openxmlformats.org/officeDocument/2006/relationships/image" Target="media/image20.wmf"/><Relationship Id="rId17" Type="http://schemas.openxmlformats.org/officeDocument/2006/relationships/image" Target="media/image5.wmf"/><Relationship Id="rId25"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40.wmf"/><Relationship Id="rId20" Type="http://schemas.openxmlformats.org/officeDocument/2006/relationships/image" Target="media/image60.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wmf"/><Relationship Id="rId24" Type="http://schemas.openxmlformats.org/officeDocument/2006/relationships/image" Target="media/image80.wmf"/><Relationship Id="rId5" Type="http://schemas.openxmlformats.org/officeDocument/2006/relationships/webSettings" Target="webSettings.xml"/><Relationship Id="rId15" Type="http://schemas.openxmlformats.org/officeDocument/2006/relationships/image" Target="media/image4.wmf"/><Relationship Id="rId23" Type="http://schemas.openxmlformats.org/officeDocument/2006/relationships/image" Target="media/image8.wmf"/><Relationship Id="rId28" Type="http://schemas.openxmlformats.org/officeDocument/2006/relationships/theme" Target="theme/theme1.xml"/><Relationship Id="rId10" Type="http://schemas.openxmlformats.org/officeDocument/2006/relationships/image" Target="media/image10.wmf"/><Relationship Id="rId19" Type="http://schemas.openxmlformats.org/officeDocument/2006/relationships/image" Target="media/image6.wmf"/><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30.wmf"/><Relationship Id="rId22" Type="http://schemas.openxmlformats.org/officeDocument/2006/relationships/image" Target="media/image70.wmf"/><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B24DE5-8D90-4965-92B1-85C6D50DE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1</TotalTime>
  <Pages>9</Pages>
  <Words>15553</Words>
  <Characters>88653</Characters>
  <Application>Microsoft Office Word</Application>
  <DocSecurity>0</DocSecurity>
  <Lines>738</Lines>
  <Paragraphs>207</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103999</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4</cp:revision>
  <cp:lastPrinted>2015-03-31T09:49:00Z</cp:lastPrinted>
  <dcterms:created xsi:type="dcterms:W3CDTF">2015-03-31T21:18:00Z</dcterms:created>
  <dcterms:modified xsi:type="dcterms:W3CDTF">2015-03-31T21:19:00Z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